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吉林省危险废物“点对点”定向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微软雅黑" w:eastAsia="方正小标宋简体" w:cs="宋体"/>
          <w:kern w:val="0"/>
          <w:sz w:val="44"/>
          <w:szCs w:val="44"/>
        </w:rPr>
      </w:pPr>
      <w:r>
        <w:rPr>
          <w:rFonts w:hint="eastAsia" w:ascii="方正小标宋_GBK" w:hAnsi="方正小标宋_GBK" w:eastAsia="方正小标宋_GBK" w:cs="方正小标宋_GBK"/>
          <w:kern w:val="0"/>
          <w:sz w:val="44"/>
          <w:szCs w:val="44"/>
        </w:rPr>
        <w:t>利用豁免管理试点方案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为贯彻落实《中华人民共和国固体废物污染环境防治法》，鼓励危险废物“点对点”定向利用，提升我省危险废物资源化水平，促进危险废物综合利用产业健康发展，根据《国家危险废物名录（</w:t>
      </w:r>
      <w:r>
        <w:rPr>
          <w:rFonts w:hint="eastAsia" w:ascii="仿宋_GB2312" w:hAnsi="Times New Roman" w:eastAsia="仿宋_GB2312" w:cs="Times New Roman"/>
          <w:kern w:val="0"/>
          <w:sz w:val="32"/>
          <w:szCs w:val="32"/>
        </w:rPr>
        <w:t>2021</w:t>
      </w:r>
      <w:r>
        <w:rPr>
          <w:rFonts w:hint="eastAsia" w:ascii="仿宋_GB2312" w:hAnsi="微软雅黑" w:eastAsia="仿宋_GB2312" w:cs="宋体"/>
          <w:kern w:val="0"/>
          <w:sz w:val="32"/>
          <w:szCs w:val="32"/>
        </w:rPr>
        <w:t>年版）》和《国务院办公厅关于印发强化危险废物监管和利用处置能力改革实施方案</w:t>
      </w:r>
      <w:r>
        <w:rPr>
          <w:rFonts w:hint="eastAsia" w:ascii="仿宋_GB2312" w:hAnsi="微软雅黑" w:eastAsia="仿宋_GB2312" w:cs="宋体"/>
          <w:kern w:val="0"/>
          <w:sz w:val="32"/>
          <w:szCs w:val="32"/>
          <w:lang w:eastAsia="zh-CN"/>
        </w:rPr>
        <w:t>的通知</w:t>
      </w:r>
      <w:r>
        <w:rPr>
          <w:rFonts w:hint="eastAsia" w:ascii="仿宋_GB2312" w:hAnsi="微软雅黑" w:eastAsia="仿宋_GB2312" w:cs="宋体"/>
          <w:kern w:val="0"/>
          <w:sz w:val="32"/>
          <w:szCs w:val="32"/>
        </w:rPr>
        <w:t>》（国办函〔</w:t>
      </w:r>
      <w:r>
        <w:rPr>
          <w:rFonts w:hint="eastAsia" w:ascii="仿宋_GB2312" w:hAnsi="Times New Roman" w:eastAsia="仿宋_GB2312" w:cs="Times New Roman"/>
          <w:kern w:val="0"/>
          <w:sz w:val="32"/>
          <w:szCs w:val="32"/>
        </w:rPr>
        <w:t>2021</w:t>
      </w:r>
      <w:r>
        <w:rPr>
          <w:rFonts w:hint="eastAsia" w:ascii="仿宋_GB2312" w:hAnsi="微软雅黑" w:eastAsia="仿宋_GB2312" w:cs="宋体"/>
          <w:kern w:val="0"/>
          <w:sz w:val="32"/>
          <w:szCs w:val="32"/>
        </w:rPr>
        <w:t>〕</w:t>
      </w:r>
      <w:r>
        <w:rPr>
          <w:rFonts w:hint="eastAsia" w:ascii="仿宋_GB2312" w:hAnsi="Times New Roman" w:eastAsia="仿宋_GB2312" w:cs="Times New Roman"/>
          <w:kern w:val="0"/>
          <w:sz w:val="32"/>
          <w:szCs w:val="32"/>
        </w:rPr>
        <w:t>47</w:t>
      </w:r>
      <w:r>
        <w:rPr>
          <w:rFonts w:hint="eastAsia" w:ascii="仿宋_GB2312" w:hAnsi="微软雅黑" w:eastAsia="仿宋_GB2312" w:cs="宋体"/>
          <w:kern w:val="0"/>
          <w:sz w:val="32"/>
          <w:szCs w:val="32"/>
        </w:rPr>
        <w:t>号）有关规定，结合我省实际，制定本方案。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黑体" w:hAnsi="黑体" w:eastAsia="黑体" w:cs="宋体"/>
          <w:kern w:val="0"/>
          <w:sz w:val="32"/>
          <w:szCs w:val="32"/>
        </w:rPr>
      </w:pPr>
      <w:r>
        <w:rPr>
          <w:rFonts w:hint="eastAsia" w:ascii="黑体" w:hAnsi="黑体" w:eastAsia="黑体" w:cs="宋体"/>
          <w:kern w:val="0"/>
          <w:sz w:val="32"/>
          <w:szCs w:val="32"/>
        </w:rPr>
        <w:t>一、试点目标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坚持危险废物减量化、资源化和无害化的原则，以提高危险废物综合利用率为目标，“十四五”期间，在环境风险可控的前提下，结合我省危险废物产生和利用处置现状，对产生量大、利用技术成熟、资源化程度高的危险废物实行“点对点”定向利用豁免管理试点，降低危险废物产生单位处置成本，拓宽危险废物综合利用途径，保障环境安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黑体" w:hAnsi="黑体" w:eastAsia="黑体" w:cs="宋体"/>
          <w:kern w:val="0"/>
          <w:sz w:val="32"/>
          <w:szCs w:val="32"/>
        </w:rPr>
      </w:pPr>
      <w:r>
        <w:rPr>
          <w:rFonts w:hint="eastAsia" w:ascii="黑体" w:hAnsi="黑体" w:eastAsia="黑体" w:cs="宋体"/>
          <w:kern w:val="0"/>
          <w:sz w:val="32"/>
          <w:szCs w:val="32"/>
        </w:rPr>
        <w:t>二、豁免对象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未列入《国家危险废物名录（2021年版）》附录《危险废物豁免管理清单》中的危险废物或利用过程不满足《危险废物豁免管理清单》所列豁免条件的危险废物，在环境风险可控的前提下，实行危险废物</w:t>
      </w:r>
      <w:r>
        <w:rPr>
          <w:rFonts w:hint="eastAsia" w:ascii="仿宋_GB2312" w:hAnsi="Times New Roman" w:eastAsia="仿宋_GB2312" w:cs="Times New Roman"/>
          <w:kern w:val="0"/>
          <w:sz w:val="32"/>
          <w:szCs w:val="32"/>
        </w:rPr>
        <w:t>“</w:t>
      </w:r>
      <w:r>
        <w:rPr>
          <w:rFonts w:hint="eastAsia" w:ascii="仿宋_GB2312" w:hAnsi="微软雅黑" w:eastAsia="仿宋_GB2312" w:cs="宋体"/>
          <w:kern w:val="0"/>
          <w:sz w:val="32"/>
          <w:szCs w:val="32"/>
        </w:rPr>
        <w:t>点对点</w:t>
      </w:r>
      <w:r>
        <w:rPr>
          <w:rFonts w:hint="eastAsia" w:ascii="仿宋_GB2312" w:hAnsi="Times New Roman" w:eastAsia="仿宋_GB2312" w:cs="Times New Roman"/>
          <w:kern w:val="0"/>
          <w:sz w:val="32"/>
          <w:szCs w:val="32"/>
        </w:rPr>
        <w:t>”</w:t>
      </w:r>
      <w:r>
        <w:rPr>
          <w:rFonts w:hint="eastAsia" w:ascii="仿宋_GB2312" w:hAnsi="微软雅黑" w:eastAsia="仿宋_GB2312" w:cs="宋体"/>
          <w:kern w:val="0"/>
          <w:sz w:val="32"/>
          <w:szCs w:val="32"/>
        </w:rPr>
        <w:t>定向利用，即：一家危险废物产生单位（以下简称“产生单位”）产生的一种危险废物，作为另一家危险废物利用单位（以下简称“利用单位”）工业产品或环境治理生产的替代原料进行使用，该利用过程可不按危险废物管理，利用单位豁免申领危险废物经营许可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黑体" w:hAnsi="黑体" w:eastAsia="黑体" w:cs="宋体"/>
          <w:kern w:val="0"/>
          <w:sz w:val="32"/>
          <w:szCs w:val="32"/>
        </w:rPr>
      </w:pPr>
      <w:r>
        <w:rPr>
          <w:rFonts w:hint="eastAsia" w:ascii="黑体" w:hAnsi="黑体" w:eastAsia="黑体" w:cs="宋体"/>
          <w:kern w:val="0"/>
          <w:sz w:val="32"/>
          <w:szCs w:val="32"/>
        </w:rPr>
        <w:t>三、试点条件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微软雅黑" w:eastAsia="仿宋_GB2312" w:cs="宋体"/>
          <w:kern w:val="0"/>
          <w:sz w:val="24"/>
          <w:szCs w:val="24"/>
        </w:rPr>
      </w:pPr>
      <w:r>
        <w:rPr>
          <w:rFonts w:hint="eastAsia" w:ascii="仿宋_GB2312" w:hAnsi="微软雅黑" w:eastAsia="仿宋_GB2312" w:cs="宋体"/>
          <w:kern w:val="0"/>
          <w:sz w:val="32"/>
          <w:szCs w:val="32"/>
        </w:rPr>
        <w:t>（一）产生单位和利用单位均为吉林省内符合建设项目环境管理相关要求的企业，近三年未因环境违法行为被追究行政或刑事责任，且危险废物规范化环境管理评估达标。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（二）产生的危险废物品种单一，并且产生源单一稳定、有用组分和有害成分清晰、危险特性明确，并且有完整的有用组分和有毒有害成分控制体系。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hint="eastAsia" w:ascii="仿宋_GB2312" w:hAnsi="Arial" w:eastAsia="仿宋_GB2312" w:cs="Arial"/>
          <w:kern w:val="0"/>
          <w:sz w:val="32"/>
          <w:szCs w:val="32"/>
        </w:rPr>
      </w:pPr>
      <w:r>
        <w:rPr>
          <w:rFonts w:hint="eastAsia" w:ascii="仿宋_GB2312" w:hAnsi="微软雅黑" w:eastAsia="仿宋_GB2312" w:cs="宋体"/>
          <w:kern w:val="0"/>
          <w:sz w:val="32"/>
          <w:szCs w:val="32"/>
        </w:rPr>
        <w:t>（三）利用单位必须具备相应的专业技术人员、</w:t>
      </w:r>
      <w:r>
        <w:rPr>
          <w:rFonts w:hint="eastAsia" w:ascii="仿宋_GB2312" w:hAnsi="Arial" w:eastAsia="仿宋_GB2312" w:cs="Arial"/>
          <w:kern w:val="0"/>
          <w:sz w:val="32"/>
          <w:szCs w:val="32"/>
        </w:rPr>
        <w:t>包装工具、贮存设施设备或场所、污染防治措施和事故应急救援措施等条件。</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（四）利用危险废物替代原料生产产品的，资源化产物应符合《固体废物鉴别标准 通则》（GB34330-2017）5.2相关要求；使用危险废物替代原料进行环境治理的，治理效果须达到使用被替代原料的治理效果。</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ascii="仿宋_GB2312" w:hAnsi="Arial" w:eastAsia="仿宋_GB2312" w:cs="Arial"/>
          <w:kern w:val="0"/>
          <w:sz w:val="32"/>
          <w:szCs w:val="32"/>
        </w:rPr>
      </w:pPr>
      <w:r>
        <w:rPr>
          <w:rFonts w:hint="eastAsia" w:ascii="仿宋_GB2312" w:hAnsi="微软雅黑" w:eastAsia="仿宋_GB2312" w:cs="宋体"/>
          <w:kern w:val="0"/>
          <w:sz w:val="32"/>
          <w:szCs w:val="32"/>
        </w:rPr>
        <w:t>（五）</w:t>
      </w:r>
      <w:r>
        <w:rPr>
          <w:rFonts w:hint="eastAsia" w:ascii="仿宋_GB2312" w:hAnsi="Arial" w:eastAsia="仿宋_GB2312" w:cs="Arial"/>
          <w:kern w:val="0"/>
          <w:sz w:val="32"/>
          <w:szCs w:val="32"/>
        </w:rPr>
        <w:t>利用现有环保措施或采取一定的污染控制措施优化后，不增加新的特征污染物和污染物排放总量，且污染物排放达标。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黑体" w:hAnsi="黑体" w:eastAsia="黑体" w:cs="宋体"/>
          <w:kern w:val="0"/>
          <w:sz w:val="32"/>
          <w:szCs w:val="32"/>
        </w:rPr>
      </w:pPr>
      <w:r>
        <w:rPr>
          <w:rFonts w:hint="eastAsia" w:ascii="黑体" w:hAnsi="黑体" w:eastAsia="黑体" w:cs="宋体"/>
          <w:kern w:val="0"/>
          <w:sz w:val="32"/>
          <w:szCs w:val="32"/>
        </w:rPr>
        <w:t>四、试点程序</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hint="eastAsia"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（一）试点申请</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申请试点的两个单位共同填写《危险废物“点对点”定向利用申请表》，共同组织环境风险评估，按申请材料清单准备相关证明材料，报双方所在设区的市级生态环境局初步审核通过并签署意见后，报省生态环境厅。</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hint="eastAsia"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（二）试点审查</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省生态环境厅委托省固体废物管理中心，在10个工作日内完成材料审查和现场核查（企业整改时间除外）。</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ascii="仿宋_GB2312" w:hAnsi="Arial" w:eastAsia="仿宋_GB2312" w:cs="Arial"/>
          <w:kern w:val="0"/>
          <w:sz w:val="32"/>
          <w:szCs w:val="32"/>
        </w:rPr>
      </w:pPr>
      <w:r>
        <w:rPr>
          <w:rFonts w:hint="eastAsia" w:ascii="CESI楷体-GB2312" w:hAnsi="CESI楷体-GB2312" w:eastAsia="CESI楷体-GB2312" w:cs="CESI楷体-GB2312"/>
          <w:kern w:val="0"/>
          <w:sz w:val="32"/>
          <w:szCs w:val="32"/>
        </w:rPr>
        <w:t>（三）审查决定</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省生态环境厅根据省固体废物管理中心技术审查意见做出是否同意豁免管理的决定，并向社会公开试点单位相关信息及豁免危险废物名称、废物类别、废物代码、利用能力等豁免利用相关信息。</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首次申请试点有效期为一年。</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ascii="仿宋_GB2312" w:hAnsi="Arial" w:eastAsia="仿宋_GB2312" w:cs="Arial"/>
          <w:kern w:val="0"/>
          <w:sz w:val="32"/>
          <w:szCs w:val="32"/>
        </w:rPr>
      </w:pPr>
      <w:r>
        <w:rPr>
          <w:rFonts w:hint="eastAsia" w:ascii="CESI楷体-GB2312" w:hAnsi="CESI楷体-GB2312" w:eastAsia="CESI楷体-GB2312" w:cs="CESI楷体-GB2312"/>
          <w:kern w:val="0"/>
          <w:sz w:val="32"/>
          <w:szCs w:val="32"/>
        </w:rPr>
        <w:t>（四）延期申请</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试点单位在试点有效期届满30个工作日前向省生态环境厅提出延期申请，省生态环境厅按照首次申请程序作出审查决定。</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延期申请试点有效期为三年。</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hint="eastAsia" w:ascii="CESI楷体-GB2312" w:hAnsi="CESI楷体-GB2312" w:eastAsia="CESI楷体-GB2312" w:cs="CESI楷体-GB2312"/>
          <w:kern w:val="0"/>
          <w:sz w:val="32"/>
          <w:szCs w:val="32"/>
          <w:lang w:eastAsia="zh-CN"/>
        </w:rPr>
      </w:pPr>
      <w:r>
        <w:rPr>
          <w:rFonts w:hint="eastAsia" w:ascii="CESI楷体-GB2312" w:hAnsi="CESI楷体-GB2312" w:eastAsia="CESI楷体-GB2312" w:cs="CESI楷体-GB2312"/>
          <w:kern w:val="0"/>
          <w:sz w:val="32"/>
          <w:szCs w:val="32"/>
        </w:rPr>
        <w:t>（五）重新申请</w:t>
      </w:r>
      <w:r>
        <w:rPr>
          <w:rFonts w:hint="eastAsia" w:ascii="CESI楷体-GB2312" w:hAnsi="CESI楷体-GB2312" w:eastAsia="CESI楷体-GB2312" w:cs="CESI楷体-GB2312"/>
          <w:kern w:val="0"/>
          <w:sz w:val="32"/>
          <w:szCs w:val="32"/>
          <w:lang w:eastAsia="zh-CN"/>
        </w:rPr>
        <w:t>或备案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试点单位发生以下情形之一变化的，须重新申请审查</w:t>
      </w:r>
      <w:r>
        <w:rPr>
          <w:rFonts w:hint="eastAsia" w:ascii="仿宋_GB2312" w:hAnsi="Arial" w:eastAsia="仿宋_GB2312" w:cs="Arial"/>
          <w:kern w:val="0"/>
          <w:sz w:val="32"/>
          <w:szCs w:val="32"/>
          <w:lang w:eastAsia="zh-CN"/>
        </w:rPr>
        <w:t>或备案</w:t>
      </w:r>
      <w:r>
        <w:rPr>
          <w:rFonts w:hint="eastAsia" w:ascii="仿宋_GB2312" w:hAnsi="Arial" w:eastAsia="仿宋_GB2312" w:cs="Arial"/>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1.</w:t>
      </w:r>
      <w:r>
        <w:rPr>
          <w:rFonts w:hint="eastAsia" w:ascii="仿宋_GB2312" w:hAnsi="Arial" w:eastAsia="仿宋_GB2312" w:cs="Arial"/>
          <w:kern w:val="0"/>
          <w:sz w:val="32"/>
          <w:szCs w:val="32"/>
          <w:lang w:val="en-US" w:eastAsia="zh-CN"/>
        </w:rPr>
        <w:t>产生单位或利用单位法人信息发生变化的，须重新备案</w:t>
      </w:r>
      <w:r>
        <w:rPr>
          <w:rFonts w:hint="eastAsia" w:ascii="仿宋_GB2312" w:hAnsi="Arial" w:eastAsia="仿宋_GB2312" w:cs="Arial"/>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color w:val="auto"/>
          <w:kern w:val="0"/>
          <w:sz w:val="32"/>
          <w:szCs w:val="32"/>
          <w:lang w:eastAsia="zh-CN"/>
        </w:rPr>
      </w:pPr>
      <w:r>
        <w:rPr>
          <w:rFonts w:hint="eastAsia" w:ascii="仿宋_GB2312" w:hAnsi="Arial" w:eastAsia="仿宋_GB2312" w:cs="Arial"/>
          <w:kern w:val="0"/>
          <w:sz w:val="32"/>
          <w:szCs w:val="32"/>
        </w:rPr>
        <w:t>2.危险废物有用组</w:t>
      </w:r>
      <w:r>
        <w:rPr>
          <w:rFonts w:hint="eastAsia" w:ascii="仿宋_GB2312" w:hAnsi="Arial" w:eastAsia="仿宋_GB2312" w:cs="Arial"/>
          <w:color w:val="auto"/>
          <w:kern w:val="0"/>
          <w:sz w:val="32"/>
          <w:szCs w:val="32"/>
        </w:rPr>
        <w:t>分和有毒有害成分发生重大变化的</w:t>
      </w:r>
      <w:r>
        <w:rPr>
          <w:rFonts w:hint="eastAsia" w:ascii="仿宋_GB2312" w:hAnsi="Arial" w:eastAsia="仿宋_GB2312" w:cs="Arial"/>
          <w:color w:val="auto"/>
          <w:kern w:val="0"/>
          <w:sz w:val="32"/>
          <w:szCs w:val="32"/>
          <w:lang w:eastAsia="zh-CN"/>
        </w:rPr>
        <w:t>，须重新申请审查。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3.</w:t>
      </w:r>
      <w:r>
        <w:rPr>
          <w:rFonts w:hint="eastAsia" w:ascii="仿宋_GB2312" w:hAnsi="Arial" w:eastAsia="仿宋_GB2312" w:cs="Arial"/>
          <w:color w:val="auto"/>
          <w:kern w:val="0"/>
          <w:sz w:val="32"/>
          <w:szCs w:val="32"/>
          <w:lang w:eastAsia="zh-CN"/>
        </w:rPr>
        <w:t>危险废物利用设施、工艺、设施地点、资源化产物以及危险废物贮存、利用工艺污染防治设施发生变化的，须重新申请审查。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color w:val="auto"/>
          <w:kern w:val="0"/>
          <w:sz w:val="32"/>
          <w:szCs w:val="32"/>
        </w:rPr>
      </w:pPr>
      <w:r>
        <w:rPr>
          <w:rFonts w:hint="eastAsia" w:ascii="仿宋_GB2312" w:hAnsi="Arial" w:eastAsia="仿宋_GB2312" w:cs="Arial"/>
          <w:kern w:val="0"/>
          <w:sz w:val="32"/>
          <w:szCs w:val="32"/>
        </w:rPr>
        <w:t>4.危险废物利用类别或数量超过豁免管理范围的</w:t>
      </w:r>
      <w:r>
        <w:rPr>
          <w:rFonts w:hint="eastAsia" w:ascii="仿宋_GB2312" w:hAnsi="Arial" w:eastAsia="仿宋_GB2312" w:cs="Arial"/>
          <w:kern w:val="0"/>
          <w:sz w:val="32"/>
          <w:szCs w:val="32"/>
          <w:lang w:eastAsia="zh-CN"/>
        </w:rPr>
        <w:t>，</w:t>
      </w:r>
      <w:r>
        <w:rPr>
          <w:rFonts w:hint="eastAsia" w:ascii="仿宋_GB2312" w:hAnsi="Arial" w:eastAsia="仿宋_GB2312" w:cs="Arial"/>
          <w:color w:val="auto"/>
          <w:kern w:val="0"/>
          <w:sz w:val="32"/>
          <w:szCs w:val="32"/>
          <w:lang w:eastAsia="zh-CN"/>
        </w:rPr>
        <w:t>须重新申请审查。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（六）试点取消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1.试点单位不再继续开展危险废物“点对点”定向利用的，须提出申请报双方所在</w:t>
      </w:r>
      <w:r>
        <w:rPr>
          <w:rFonts w:hint="eastAsia" w:ascii="仿宋_GB2312" w:hAnsi="Arial" w:eastAsia="仿宋_GB2312" w:cs="Arial"/>
          <w:kern w:val="0"/>
          <w:sz w:val="32"/>
          <w:szCs w:val="32"/>
          <w:lang w:eastAsia="zh-CN"/>
        </w:rPr>
        <w:t>地</w:t>
      </w:r>
      <w:r>
        <w:rPr>
          <w:rFonts w:hint="eastAsia" w:ascii="仿宋_GB2312" w:hAnsi="Arial" w:eastAsia="仿宋_GB2312" w:cs="Arial"/>
          <w:kern w:val="0"/>
          <w:sz w:val="32"/>
          <w:szCs w:val="32"/>
        </w:rPr>
        <w:t>设区的市级生态环境局初步审核通过后，报省生态环境厅备案。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2.试点利用单位履行主体责任不到位、企业运营不规范等引发环境污染事故、安全事故，或者资源化产物不符合相关标准造成恶劣社会影响等，由设区的市级生态环境局报省生态环境厅取消其试点资格。</w:t>
      </w:r>
    </w:p>
    <w:p>
      <w:pPr>
        <w:keepNext w:val="0"/>
        <w:keepLines w:val="0"/>
        <w:pageBreakBefore w:val="0"/>
        <w:widowControl/>
        <w:kinsoku/>
        <w:wordWrap/>
        <w:overflowPunct/>
        <w:topLinePunct w:val="0"/>
        <w:autoSpaceDE/>
        <w:autoSpaceDN/>
        <w:bidi w:val="0"/>
        <w:adjustRightInd/>
        <w:snapToGrid/>
        <w:spacing w:line="600" w:lineRule="exact"/>
        <w:ind w:firstLine="540"/>
        <w:jc w:val="left"/>
        <w:textAlignment w:val="auto"/>
        <w:rPr>
          <w:rFonts w:ascii="黑体" w:hAnsi="黑体" w:eastAsia="黑体" w:cs="宋体"/>
          <w:kern w:val="0"/>
          <w:sz w:val="32"/>
          <w:szCs w:val="32"/>
        </w:rPr>
      </w:pPr>
      <w:r>
        <w:rPr>
          <w:rFonts w:hint="eastAsia" w:ascii="黑体" w:hAnsi="黑体" w:eastAsia="黑体" w:cs="宋体"/>
          <w:kern w:val="0"/>
          <w:sz w:val="32"/>
          <w:szCs w:val="32"/>
        </w:rPr>
        <w:t> 五、运行要求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微软雅黑" w:eastAsia="仿宋_GB2312" w:cs="宋体"/>
          <w:kern w:val="0"/>
          <w:sz w:val="24"/>
          <w:szCs w:val="24"/>
        </w:rPr>
      </w:pPr>
      <w:r>
        <w:rPr>
          <w:rFonts w:hint="eastAsia" w:ascii="仿宋_GB2312" w:hAnsi="微软雅黑" w:eastAsia="仿宋_GB2312" w:cs="宋体"/>
          <w:kern w:val="0"/>
          <w:sz w:val="32"/>
          <w:szCs w:val="32"/>
        </w:rPr>
        <w:t>（一）产生单位和利用单位应严格按照双方共同编制的环境风险评估方案明确的方式、去向等开展危险废物</w:t>
      </w:r>
      <w:r>
        <w:rPr>
          <w:rFonts w:hint="eastAsia" w:ascii="仿宋_GB2312" w:hAnsi="Times New Roman" w:eastAsia="仿宋_GB2312" w:cs="Times New Roman"/>
          <w:kern w:val="0"/>
          <w:sz w:val="32"/>
          <w:szCs w:val="32"/>
        </w:rPr>
        <w:t>“</w:t>
      </w:r>
      <w:r>
        <w:rPr>
          <w:rFonts w:hint="eastAsia" w:ascii="仿宋_GB2312" w:hAnsi="微软雅黑" w:eastAsia="仿宋_GB2312" w:cs="宋体"/>
          <w:kern w:val="0"/>
          <w:sz w:val="32"/>
          <w:szCs w:val="32"/>
        </w:rPr>
        <w:t>点对点</w:t>
      </w:r>
      <w:r>
        <w:rPr>
          <w:rFonts w:hint="eastAsia" w:ascii="仿宋_GB2312" w:hAnsi="Times New Roman" w:eastAsia="仿宋_GB2312" w:cs="Times New Roman"/>
          <w:kern w:val="0"/>
          <w:sz w:val="32"/>
          <w:szCs w:val="32"/>
        </w:rPr>
        <w:t>”</w:t>
      </w:r>
      <w:r>
        <w:rPr>
          <w:rFonts w:hint="eastAsia" w:ascii="仿宋_GB2312" w:hAnsi="微软雅黑" w:eastAsia="仿宋_GB2312" w:cs="宋体"/>
          <w:kern w:val="0"/>
          <w:sz w:val="32"/>
          <w:szCs w:val="32"/>
        </w:rPr>
        <w:t>定向利用，并执行危险废物</w:t>
      </w:r>
      <w:r>
        <w:rPr>
          <w:rFonts w:hint="eastAsia" w:ascii="仿宋_GB2312" w:hAnsi="微软雅黑" w:eastAsia="仿宋_GB2312" w:cs="宋体"/>
          <w:kern w:val="0"/>
          <w:sz w:val="32"/>
          <w:szCs w:val="32"/>
          <w:lang w:eastAsia="zh-CN"/>
        </w:rPr>
        <w:t>管理计划、申报登记、转移联单、台账记录、经营情况报告等危险废物</w:t>
      </w:r>
      <w:r>
        <w:rPr>
          <w:rFonts w:hint="eastAsia" w:ascii="仿宋_GB2312" w:hAnsi="微软雅黑" w:eastAsia="仿宋_GB2312" w:cs="宋体"/>
          <w:kern w:val="0"/>
          <w:sz w:val="32"/>
          <w:szCs w:val="32"/>
        </w:rPr>
        <w:t>规范化环境管理要求。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（二）产生单位应建立危险废物有用组分和有毒有害成分控制标准，确保所产生的危险废物符合利用单位替代原料质量标准控制和污染防治要求，并建立有用组分和有毒有害成分检测体系。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微软雅黑" w:eastAsia="仿宋_GB2312" w:cs="宋体"/>
          <w:kern w:val="0"/>
          <w:sz w:val="24"/>
          <w:szCs w:val="24"/>
        </w:rPr>
      </w:pPr>
      <w:r>
        <w:rPr>
          <w:rFonts w:hint="eastAsia" w:ascii="仿宋_GB2312" w:hAnsi="微软雅黑" w:eastAsia="仿宋_GB2312" w:cs="宋体"/>
          <w:kern w:val="0"/>
          <w:sz w:val="32"/>
          <w:szCs w:val="32"/>
        </w:rPr>
        <w:t>连续工艺产生的危险废物，至少每月开展一次检测；间歇式工艺产生的危险废物，每批次应至少开展一次检测。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微软雅黑" w:eastAsia="仿宋_GB2312" w:cs="宋体"/>
          <w:kern w:val="0"/>
          <w:sz w:val="24"/>
          <w:szCs w:val="24"/>
        </w:rPr>
      </w:pPr>
      <w:r>
        <w:rPr>
          <w:rFonts w:hint="eastAsia" w:ascii="仿宋_GB2312" w:hAnsi="微软雅黑" w:eastAsia="仿宋_GB2312" w:cs="宋体"/>
          <w:kern w:val="0"/>
          <w:sz w:val="32"/>
          <w:szCs w:val="32"/>
        </w:rPr>
        <w:t>（三）利用单位应做好危险废物利用过程中污染防治设施的运行维护，确保污染物达标排放，污染物排放监测因子和监测频次应符合排污许可证要求。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微软雅黑" w:eastAsia="仿宋_GB2312" w:cs="宋体"/>
          <w:kern w:val="0"/>
          <w:sz w:val="24"/>
          <w:szCs w:val="24"/>
        </w:rPr>
      </w:pPr>
      <w:r>
        <w:rPr>
          <w:rFonts w:hint="eastAsia" w:ascii="仿宋_GB2312" w:hAnsi="微软雅黑" w:eastAsia="仿宋_GB2312" w:cs="宋体"/>
          <w:kern w:val="0"/>
          <w:sz w:val="32"/>
          <w:szCs w:val="32"/>
        </w:rPr>
        <w:t>（四）产生单位转移危险废物时，应当如实填写、运行危险废物电子转移联单。运输危险废物应当遵守危险货物运输管理的规定。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（五）产生单位和利用单位应建立危险废物管理台账，主要包括危险废物有用组分和有害物质含量检测报告、转移联单、出入库</w:t>
      </w:r>
      <w:r>
        <w:rPr>
          <w:rFonts w:hint="eastAsia" w:ascii="仿宋_GB2312" w:hAnsi="微软雅黑" w:eastAsia="仿宋_GB2312" w:cs="宋体"/>
          <w:kern w:val="0"/>
          <w:sz w:val="32"/>
          <w:szCs w:val="32"/>
          <w:lang w:eastAsia="zh-CN"/>
        </w:rPr>
        <w:t>记录</w:t>
      </w:r>
      <w:r>
        <w:rPr>
          <w:rFonts w:hint="eastAsia" w:ascii="仿宋_GB2312" w:hAnsi="微软雅黑" w:eastAsia="仿宋_GB2312" w:cs="宋体"/>
          <w:kern w:val="0"/>
          <w:sz w:val="32"/>
          <w:szCs w:val="32"/>
        </w:rPr>
        <w:t>、入场分析记录、产品生产记录、</w:t>
      </w:r>
      <w:r>
        <w:rPr>
          <w:rFonts w:hint="eastAsia" w:ascii="仿宋_GB2312" w:hAnsi="微软雅黑" w:eastAsia="仿宋_GB2312" w:cs="宋体"/>
          <w:kern w:val="0"/>
          <w:sz w:val="32"/>
          <w:szCs w:val="32"/>
          <w:lang w:eastAsia="zh-CN"/>
        </w:rPr>
        <w:t>产品</w:t>
      </w:r>
      <w:r>
        <w:rPr>
          <w:rFonts w:hint="eastAsia" w:ascii="仿宋_GB2312" w:hAnsi="微软雅黑" w:eastAsia="仿宋_GB2312" w:cs="宋体"/>
          <w:kern w:val="0"/>
          <w:sz w:val="32"/>
          <w:szCs w:val="32"/>
        </w:rPr>
        <w:t>质量检测报告、污染防治设施运行记录、环境监测报告、定向利用合同及转账记录、发票等，相关台账应由专人管理，防止遗失，保存期限至少为</w:t>
      </w:r>
      <w:r>
        <w:rPr>
          <w:rFonts w:hint="eastAsia" w:ascii="仿宋_GB2312" w:hAnsi="Times New Roman" w:eastAsia="仿宋_GB2312" w:cs="Times New Roman"/>
          <w:kern w:val="0"/>
          <w:sz w:val="32"/>
          <w:szCs w:val="32"/>
          <w:lang w:val="en-US" w:eastAsia="zh-CN"/>
        </w:rPr>
        <w:t>10</w:t>
      </w:r>
      <w:r>
        <w:rPr>
          <w:rFonts w:hint="eastAsia" w:ascii="仿宋_GB2312" w:hAnsi="微软雅黑" w:eastAsia="仿宋_GB2312" w:cs="宋体"/>
          <w:kern w:val="0"/>
          <w:sz w:val="32"/>
          <w:szCs w:val="32"/>
        </w:rPr>
        <w:t>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微软雅黑" w:eastAsia="仿宋_GB2312" w:cs="宋体"/>
          <w:kern w:val="0"/>
          <w:sz w:val="24"/>
          <w:szCs w:val="24"/>
        </w:rPr>
      </w:pPr>
      <w:r>
        <w:rPr>
          <w:rFonts w:hint="eastAsia" w:ascii="仿宋_GB2312" w:hAnsi="微软雅黑" w:eastAsia="仿宋_GB2312" w:cs="宋体"/>
          <w:kern w:val="0"/>
          <w:sz w:val="32"/>
          <w:szCs w:val="32"/>
        </w:rPr>
        <w:t>（六）利用单位应在每月</w:t>
      </w:r>
      <w:r>
        <w:rPr>
          <w:rFonts w:hint="eastAsia" w:ascii="仿宋_GB2312" w:hAnsi="Times New Roman" w:eastAsia="仿宋_GB2312" w:cs="Times New Roman"/>
          <w:kern w:val="0"/>
          <w:sz w:val="32"/>
          <w:szCs w:val="32"/>
        </w:rPr>
        <w:t>5</w:t>
      </w:r>
      <w:r>
        <w:rPr>
          <w:rFonts w:hint="eastAsia" w:ascii="仿宋_GB2312" w:hAnsi="微软雅黑" w:eastAsia="仿宋_GB2312" w:cs="宋体"/>
          <w:kern w:val="0"/>
          <w:sz w:val="32"/>
          <w:szCs w:val="32"/>
        </w:rPr>
        <w:t>日前通过吉林省危险废物全过程智能监管平台报送上月危险废物利用情况，每年</w:t>
      </w:r>
      <w:r>
        <w:rPr>
          <w:rFonts w:hint="eastAsia" w:ascii="仿宋_GB2312" w:hAnsi="Times New Roman" w:eastAsia="仿宋_GB2312" w:cs="Times New Roman"/>
          <w:kern w:val="0"/>
          <w:sz w:val="32"/>
          <w:szCs w:val="32"/>
        </w:rPr>
        <w:t>1</w:t>
      </w:r>
      <w:r>
        <w:rPr>
          <w:rFonts w:hint="eastAsia" w:ascii="仿宋_GB2312" w:hAnsi="微软雅黑" w:eastAsia="仿宋_GB2312" w:cs="宋体"/>
          <w:kern w:val="0"/>
          <w:sz w:val="32"/>
          <w:szCs w:val="32"/>
        </w:rPr>
        <w:t>月</w:t>
      </w:r>
      <w:r>
        <w:rPr>
          <w:rFonts w:hint="eastAsia" w:ascii="仿宋_GB2312" w:hAnsi="Times New Roman" w:eastAsia="仿宋_GB2312" w:cs="Times New Roman"/>
          <w:kern w:val="0"/>
          <w:sz w:val="32"/>
          <w:szCs w:val="32"/>
        </w:rPr>
        <w:t>31</w:t>
      </w:r>
      <w:r>
        <w:rPr>
          <w:rFonts w:hint="eastAsia" w:ascii="仿宋_GB2312" w:hAnsi="微软雅黑" w:eastAsia="仿宋_GB2312" w:cs="宋体"/>
          <w:kern w:val="0"/>
          <w:sz w:val="32"/>
          <w:szCs w:val="32"/>
        </w:rPr>
        <w:t>日前报送上年度危险废物利用情况。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黑体" w:hAnsi="黑体" w:eastAsia="黑体" w:cs="宋体"/>
          <w:kern w:val="0"/>
          <w:sz w:val="32"/>
          <w:szCs w:val="32"/>
        </w:rPr>
      </w:pPr>
      <w:r>
        <w:rPr>
          <w:rFonts w:hint="eastAsia" w:ascii="黑体" w:hAnsi="黑体" w:eastAsia="黑体" w:cs="宋体"/>
          <w:kern w:val="0"/>
          <w:sz w:val="32"/>
          <w:szCs w:val="32"/>
        </w:rPr>
        <w:t>六、保障措施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微软雅黑" w:eastAsia="仿宋_GB2312" w:cs="宋体"/>
          <w:kern w:val="0"/>
          <w:sz w:val="32"/>
          <w:szCs w:val="32"/>
        </w:rPr>
      </w:pPr>
      <w:r>
        <w:rPr>
          <w:rFonts w:hint="eastAsia" w:ascii="CESI楷体-GB2312" w:hAnsi="CESI楷体-GB2312" w:eastAsia="CESI楷体-GB2312" w:cs="CESI楷体-GB2312"/>
          <w:kern w:val="0"/>
          <w:sz w:val="32"/>
          <w:szCs w:val="32"/>
        </w:rPr>
        <w:t>（一）加强组织领导。</w:t>
      </w:r>
      <w:r>
        <w:rPr>
          <w:rFonts w:hint="eastAsia" w:ascii="仿宋_GB2312" w:hAnsi="微软雅黑" w:eastAsia="仿宋_GB2312" w:cs="宋体"/>
          <w:kern w:val="0"/>
          <w:sz w:val="32"/>
          <w:szCs w:val="32"/>
        </w:rPr>
        <w:t>省生态环境厅</w:t>
      </w:r>
      <w:r>
        <w:rPr>
          <w:rFonts w:ascii="仿宋_GB2312" w:hAnsi="微软雅黑" w:eastAsia="仿宋_GB2312" w:cs="宋体"/>
          <w:kern w:val="0"/>
          <w:sz w:val="32"/>
          <w:szCs w:val="32"/>
        </w:rPr>
        <w:t>将危险废物</w:t>
      </w:r>
      <w:r>
        <w:rPr>
          <w:rFonts w:hint="eastAsia" w:ascii="仿宋_GB2312" w:hAnsi="微软雅黑" w:eastAsia="仿宋_GB2312" w:cs="宋体"/>
          <w:kern w:val="0"/>
          <w:sz w:val="32"/>
          <w:szCs w:val="32"/>
        </w:rPr>
        <w:t>“点对点”定向利用</w:t>
      </w:r>
      <w:r>
        <w:rPr>
          <w:rFonts w:ascii="仿宋_GB2312" w:hAnsi="微软雅黑" w:eastAsia="仿宋_GB2312" w:cs="宋体"/>
          <w:kern w:val="0"/>
          <w:sz w:val="32"/>
          <w:szCs w:val="32"/>
        </w:rPr>
        <w:t>作为全域</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无废城市</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建设基础性工作，加强全省统筹和协调指导，</w:t>
      </w:r>
      <w:r>
        <w:rPr>
          <w:rFonts w:hint="eastAsia" w:ascii="仿宋_GB2312" w:hAnsi="微软雅黑" w:eastAsia="仿宋_GB2312" w:cs="宋体"/>
          <w:kern w:val="0"/>
          <w:sz w:val="32"/>
          <w:szCs w:val="32"/>
        </w:rPr>
        <w:t>不断</w:t>
      </w:r>
      <w:r>
        <w:rPr>
          <w:rFonts w:ascii="仿宋_GB2312" w:hAnsi="微软雅黑" w:eastAsia="仿宋_GB2312" w:cs="宋体"/>
          <w:kern w:val="0"/>
          <w:sz w:val="32"/>
          <w:szCs w:val="32"/>
        </w:rPr>
        <w:t>提高危险废物综合利用能力和水平</w:t>
      </w:r>
      <w:r>
        <w:rPr>
          <w:rFonts w:hint="eastAsia" w:ascii="仿宋_GB2312" w:hAnsi="微软雅黑" w:eastAsia="仿宋_GB2312" w:cs="宋体"/>
          <w:kern w:val="0"/>
          <w:sz w:val="32"/>
          <w:szCs w:val="32"/>
        </w:rPr>
        <w:t>。各地</w:t>
      </w:r>
      <w:r>
        <w:rPr>
          <w:rFonts w:hint="eastAsia" w:ascii="仿宋_GB2312" w:hAnsi="微软雅黑" w:eastAsia="仿宋_GB2312" w:cs="宋体"/>
          <w:kern w:val="0"/>
          <w:sz w:val="32"/>
          <w:szCs w:val="32"/>
          <w:lang w:eastAsia="zh-CN"/>
        </w:rPr>
        <w:t>要</w:t>
      </w:r>
      <w:r>
        <w:rPr>
          <w:rFonts w:hint="eastAsia" w:ascii="仿宋_GB2312" w:hAnsi="微软雅黑" w:eastAsia="仿宋_GB2312" w:cs="宋体"/>
          <w:kern w:val="0"/>
          <w:sz w:val="32"/>
          <w:szCs w:val="32"/>
        </w:rPr>
        <w:t>认真</w:t>
      </w:r>
      <w:r>
        <w:rPr>
          <w:rFonts w:ascii="仿宋_GB2312" w:hAnsi="微软雅黑" w:eastAsia="仿宋_GB2312" w:cs="宋体"/>
          <w:kern w:val="0"/>
          <w:sz w:val="32"/>
          <w:szCs w:val="32"/>
        </w:rPr>
        <w:t>组织落实，健全工作制度，强化事中事后监管；压实</w:t>
      </w:r>
      <w:r>
        <w:rPr>
          <w:rFonts w:hint="eastAsia" w:ascii="仿宋_GB2312" w:hAnsi="微软雅黑" w:eastAsia="仿宋_GB2312" w:cs="宋体"/>
          <w:kern w:val="0"/>
          <w:sz w:val="32"/>
          <w:szCs w:val="32"/>
        </w:rPr>
        <w:t>产生</w:t>
      </w:r>
      <w:r>
        <w:rPr>
          <w:rFonts w:ascii="仿宋_GB2312" w:hAnsi="微软雅黑" w:eastAsia="仿宋_GB2312" w:cs="宋体"/>
          <w:kern w:val="0"/>
          <w:sz w:val="32"/>
          <w:szCs w:val="32"/>
        </w:rPr>
        <w:t>单位和利用单位主体责任，确保危险废物管理法律法规制度</w:t>
      </w:r>
      <w:r>
        <w:rPr>
          <w:rFonts w:hint="eastAsia" w:ascii="仿宋_GB2312" w:hAnsi="微软雅黑" w:eastAsia="仿宋_GB2312" w:cs="宋体"/>
          <w:kern w:val="0"/>
          <w:sz w:val="32"/>
          <w:szCs w:val="32"/>
        </w:rPr>
        <w:t>落到实处</w:t>
      </w:r>
      <w:r>
        <w:rPr>
          <w:rFonts w:ascii="仿宋_GB2312" w:hAnsi="微软雅黑" w:eastAsia="仿宋_GB2312"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ascii="仿宋_GB2312" w:hAnsi="微软雅黑" w:eastAsia="仿宋_GB2312" w:cs="宋体"/>
          <w:kern w:val="0"/>
          <w:sz w:val="32"/>
          <w:szCs w:val="32"/>
        </w:rPr>
      </w:pPr>
      <w:r>
        <w:rPr>
          <w:rFonts w:hint="eastAsia" w:ascii="CESI楷体-GB2312" w:hAnsi="CESI楷体-GB2312" w:eastAsia="CESI楷体-GB2312" w:cs="CESI楷体-GB2312"/>
          <w:kern w:val="0"/>
          <w:sz w:val="32"/>
          <w:szCs w:val="32"/>
        </w:rPr>
        <w:t>（二）适时总结推广。</w:t>
      </w:r>
      <w:r>
        <w:rPr>
          <w:rFonts w:ascii="仿宋_GB2312" w:hAnsi="微软雅黑" w:eastAsia="仿宋_GB2312" w:cs="宋体"/>
          <w:kern w:val="0"/>
          <w:sz w:val="32"/>
          <w:szCs w:val="32"/>
        </w:rPr>
        <w:t>省生态环境厅将适时总结全省危险废物</w:t>
      </w:r>
      <w:r>
        <w:rPr>
          <w:rFonts w:hint="eastAsia" w:ascii="仿宋_GB2312" w:hAnsi="微软雅黑" w:eastAsia="仿宋_GB2312" w:cs="宋体"/>
          <w:kern w:val="0"/>
          <w:sz w:val="32"/>
          <w:szCs w:val="32"/>
        </w:rPr>
        <w:t>“点对点”定向利用豁免管理试点工作，根据全省危险废物种类、数量、行业特点和区域分布，全面推广危险废物“点对点”定向利用豁免管理，减轻企业负担，助力危险废物综合利用产业发展。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ascii="仿宋_GB2312" w:hAnsi="微软雅黑" w:eastAsia="仿宋_GB2312" w:cs="宋体"/>
          <w:kern w:val="0"/>
          <w:sz w:val="32"/>
          <w:szCs w:val="32"/>
        </w:rPr>
      </w:pPr>
      <w:r>
        <w:rPr>
          <w:rFonts w:hint="eastAsia" w:ascii="CESI楷体-GB2312" w:hAnsi="CESI楷体-GB2312" w:eastAsia="CESI楷体-GB2312" w:cs="CESI楷体-GB2312"/>
          <w:kern w:val="0"/>
          <w:sz w:val="32"/>
          <w:szCs w:val="32"/>
        </w:rPr>
        <w:t>（三）严明纪律规矩。</w:t>
      </w:r>
      <w:r>
        <w:rPr>
          <w:rFonts w:ascii="仿宋_GB2312" w:hAnsi="微软雅黑" w:eastAsia="仿宋_GB2312" w:cs="宋体"/>
          <w:kern w:val="0"/>
          <w:sz w:val="32"/>
          <w:szCs w:val="32"/>
        </w:rPr>
        <w:t>各级生态环境部门应当建立健全危险废物</w:t>
      </w:r>
      <w:r>
        <w:rPr>
          <w:rFonts w:hint="eastAsia" w:ascii="仿宋_GB2312" w:hAnsi="微软雅黑" w:eastAsia="仿宋_GB2312" w:cs="宋体"/>
          <w:kern w:val="0"/>
          <w:sz w:val="32"/>
          <w:szCs w:val="32"/>
        </w:rPr>
        <w:t>相关</w:t>
      </w:r>
      <w:r>
        <w:rPr>
          <w:rFonts w:ascii="仿宋_GB2312" w:hAnsi="微软雅黑" w:eastAsia="仿宋_GB2312" w:cs="宋体"/>
          <w:kern w:val="0"/>
          <w:sz w:val="32"/>
          <w:szCs w:val="32"/>
        </w:rPr>
        <w:t>岗位廉政风险防范制度，落实防范措施，严守纪律规矩，</w:t>
      </w:r>
      <w:r>
        <w:rPr>
          <w:rFonts w:hint="eastAsia" w:ascii="仿宋_GB2312" w:hAnsi="微软雅黑" w:eastAsia="仿宋_GB2312" w:cs="宋体"/>
          <w:kern w:val="0"/>
          <w:sz w:val="32"/>
          <w:szCs w:val="32"/>
        </w:rPr>
        <w:t>及时公开相关信息，</w:t>
      </w:r>
      <w:r>
        <w:rPr>
          <w:rFonts w:ascii="仿宋_GB2312" w:hAnsi="微软雅黑" w:eastAsia="仿宋_GB2312" w:cs="宋体"/>
          <w:kern w:val="0"/>
          <w:sz w:val="32"/>
          <w:szCs w:val="32"/>
        </w:rPr>
        <w:t>自觉接受</w:t>
      </w:r>
      <w:r>
        <w:rPr>
          <w:rFonts w:hint="eastAsia" w:ascii="仿宋_GB2312" w:hAnsi="微软雅黑" w:eastAsia="仿宋_GB2312" w:cs="宋体"/>
          <w:kern w:val="0"/>
          <w:sz w:val="32"/>
          <w:szCs w:val="32"/>
        </w:rPr>
        <w:t>有关</w:t>
      </w:r>
      <w:r>
        <w:rPr>
          <w:rFonts w:ascii="仿宋_GB2312" w:hAnsi="微软雅黑" w:eastAsia="仿宋_GB2312" w:cs="宋体"/>
          <w:kern w:val="0"/>
          <w:sz w:val="32"/>
          <w:szCs w:val="32"/>
        </w:rPr>
        <w:t>部门和社会监督，确保权力在阳光下运行。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hint="eastAsia" w:ascii="黑体" w:hAnsi="黑体" w:eastAsia="黑体" w:cs="宋体"/>
          <w:kern w:val="0"/>
          <w:sz w:val="32"/>
          <w:szCs w:val="32"/>
        </w:rPr>
      </w:pPr>
      <w:r>
        <w:rPr>
          <w:rFonts w:hint="eastAsia" w:ascii="黑体" w:hAnsi="黑体" w:eastAsia="黑体" w:cs="宋体"/>
          <w:kern w:val="0"/>
          <w:sz w:val="32"/>
          <w:szCs w:val="32"/>
        </w:rPr>
        <w:t>七、生效日期及解释部门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本方案自印发之日起生效，具体由省生态环境厅负责解释。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微软雅黑" w:eastAsia="仿宋_GB2312" w:cs="宋体"/>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545" w:hanging="1125"/>
        <w:jc w:val="left"/>
        <w:textAlignment w:val="auto"/>
        <w:rPr>
          <w:rFonts w:ascii="仿宋_GB2312" w:hAnsi="微软雅黑" w:eastAsia="仿宋_GB2312" w:cs="宋体"/>
          <w:spacing w:val="-15"/>
          <w:kern w:val="0"/>
          <w:sz w:val="32"/>
          <w:szCs w:val="32"/>
        </w:rPr>
      </w:pPr>
      <w:r>
        <w:rPr>
          <w:rFonts w:hint="eastAsia" w:ascii="仿宋_GB2312" w:hAnsi="微软雅黑" w:eastAsia="仿宋_GB2312" w:cs="宋体"/>
          <w:spacing w:val="-15"/>
          <w:kern w:val="0"/>
          <w:sz w:val="32"/>
          <w:szCs w:val="32"/>
        </w:rPr>
        <w:t>附表：1.吉林省危险废物“点对点”定向利用申请表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545" w:hanging="1125"/>
        <w:jc w:val="left"/>
        <w:textAlignment w:val="auto"/>
        <w:rPr>
          <w:rFonts w:ascii="仿宋_GB2312" w:hAnsi="微软雅黑" w:eastAsia="仿宋_GB2312" w:cs="宋体"/>
          <w:spacing w:val="-15"/>
          <w:kern w:val="0"/>
          <w:sz w:val="32"/>
          <w:szCs w:val="32"/>
        </w:rPr>
      </w:pPr>
      <w:r>
        <w:rPr>
          <w:rFonts w:hint="eastAsia" w:ascii="仿宋_GB2312" w:hAnsi="微软雅黑" w:eastAsia="仿宋_GB2312" w:cs="宋体"/>
          <w:spacing w:val="-15"/>
          <w:kern w:val="0"/>
          <w:sz w:val="32"/>
          <w:szCs w:val="32"/>
        </w:rPr>
        <w:t xml:space="preserve">       2.危险废物“点对点”定向利用环境风险评估方案</w:t>
      </w:r>
    </w:p>
    <w:p>
      <w:pPr>
        <w:widowControl/>
        <w:shd w:val="clear" w:color="auto" w:fill="FFFFFF"/>
        <w:spacing w:line="600" w:lineRule="exact"/>
        <w:ind w:left="1276" w:hanging="856"/>
        <w:jc w:val="left"/>
        <w:rPr>
          <w:rFonts w:ascii="仿宋_GB2312" w:hAnsi="微软雅黑" w:eastAsia="仿宋_GB2312" w:cs="宋体"/>
          <w:kern w:val="0"/>
          <w:sz w:val="24"/>
          <w:szCs w:val="24"/>
        </w:rPr>
      </w:pPr>
    </w:p>
    <w:p>
      <w:pPr>
        <w:widowControl/>
        <w:shd w:val="clear" w:color="auto" w:fill="FFFFFF"/>
        <w:spacing w:line="450" w:lineRule="atLeast"/>
        <w:jc w:val="left"/>
        <w:rPr>
          <w:rFonts w:ascii="仿宋_GB2312" w:hAnsi="微软雅黑" w:eastAsia="仿宋_GB2312" w:cs="宋体"/>
          <w:kern w:val="0"/>
          <w:sz w:val="24"/>
          <w:szCs w:val="24"/>
        </w:rPr>
      </w:pPr>
    </w:p>
    <w:p>
      <w:pPr>
        <w:widowControl/>
        <w:shd w:val="clear" w:color="auto" w:fill="FFFFFF"/>
        <w:spacing w:line="450" w:lineRule="atLeast"/>
        <w:jc w:val="left"/>
        <w:rPr>
          <w:rFonts w:ascii="仿宋_GB2312" w:hAnsi="微软雅黑" w:eastAsia="仿宋_GB2312" w:cs="宋体"/>
          <w:kern w:val="0"/>
          <w:sz w:val="24"/>
          <w:szCs w:val="24"/>
        </w:rPr>
      </w:pPr>
    </w:p>
    <w:p>
      <w:pPr>
        <w:widowControl/>
        <w:shd w:val="clear" w:color="auto" w:fill="FFFFFF"/>
        <w:spacing w:line="450" w:lineRule="atLeast"/>
        <w:jc w:val="left"/>
        <w:rPr>
          <w:rFonts w:ascii="仿宋_GB2312" w:hAnsi="微软雅黑" w:eastAsia="仿宋_GB2312" w:cs="宋体"/>
          <w:kern w:val="0"/>
          <w:sz w:val="24"/>
          <w:szCs w:val="24"/>
        </w:rPr>
      </w:pPr>
    </w:p>
    <w:p>
      <w:pPr>
        <w:widowControl/>
        <w:shd w:val="clear" w:color="auto" w:fill="FFFFFF"/>
        <w:spacing w:line="555" w:lineRule="atLeast"/>
        <w:jc w:val="left"/>
        <w:rPr>
          <w:rFonts w:hint="eastAsia" w:cs="宋体" w:asciiTheme="minorEastAsia" w:hAnsiTheme="minorEastAsia"/>
          <w:b/>
          <w:kern w:val="0"/>
          <w:sz w:val="32"/>
          <w:szCs w:val="32"/>
        </w:rPr>
      </w:pPr>
    </w:p>
    <w:p>
      <w:pPr>
        <w:widowControl/>
        <w:shd w:val="clear" w:color="auto" w:fill="FFFFFF"/>
        <w:spacing w:line="555" w:lineRule="atLeast"/>
        <w:jc w:val="left"/>
        <w:rPr>
          <w:rFonts w:hint="eastAsia" w:cs="宋体" w:asciiTheme="minorEastAsia" w:hAnsiTheme="minorEastAsia"/>
          <w:b/>
          <w:kern w:val="0"/>
          <w:sz w:val="32"/>
          <w:szCs w:val="32"/>
        </w:rPr>
      </w:pPr>
    </w:p>
    <w:p>
      <w:pPr>
        <w:widowControl/>
        <w:shd w:val="clear" w:color="auto" w:fill="FFFFFF"/>
        <w:spacing w:line="555" w:lineRule="atLeast"/>
        <w:jc w:val="left"/>
        <w:rPr>
          <w:rFonts w:hint="eastAsia" w:cs="宋体" w:asciiTheme="minorEastAsia" w:hAnsiTheme="minorEastAsia"/>
          <w:b/>
          <w:kern w:val="0"/>
          <w:sz w:val="32"/>
          <w:szCs w:val="32"/>
        </w:rPr>
      </w:pPr>
    </w:p>
    <w:p>
      <w:pPr>
        <w:widowControl/>
        <w:shd w:val="clear" w:color="auto" w:fill="FFFFFF"/>
        <w:spacing w:line="555" w:lineRule="atLeast"/>
        <w:jc w:val="left"/>
        <w:rPr>
          <w:rFonts w:hint="eastAsia" w:cs="宋体" w:asciiTheme="minorEastAsia" w:hAnsiTheme="minorEastAsia"/>
          <w:b/>
          <w:kern w:val="0"/>
          <w:sz w:val="32"/>
          <w:szCs w:val="32"/>
        </w:rPr>
      </w:pPr>
    </w:p>
    <w:p>
      <w:pPr>
        <w:pStyle w:val="2"/>
        <w:rPr>
          <w:rFonts w:hint="eastAsia" w:cs="宋体" w:asciiTheme="minorEastAsia" w:hAnsiTheme="minorEastAsia"/>
          <w:b/>
          <w:kern w:val="0"/>
          <w:sz w:val="32"/>
          <w:szCs w:val="32"/>
        </w:rPr>
      </w:pPr>
    </w:p>
    <w:p>
      <w:pPr>
        <w:pStyle w:val="2"/>
        <w:rPr>
          <w:rFonts w:hint="eastAsia" w:cs="宋体" w:asciiTheme="minorEastAsia" w:hAnsiTheme="minorEastAsia"/>
          <w:b/>
          <w:kern w:val="0"/>
          <w:sz w:val="32"/>
          <w:szCs w:val="32"/>
        </w:rPr>
      </w:pPr>
    </w:p>
    <w:p>
      <w:pPr>
        <w:pStyle w:val="2"/>
        <w:rPr>
          <w:rFonts w:hint="eastAsia" w:cs="宋体" w:asciiTheme="minorEastAsia" w:hAnsiTheme="minorEastAsia"/>
          <w:b/>
          <w:kern w:val="0"/>
          <w:sz w:val="32"/>
          <w:szCs w:val="32"/>
        </w:rPr>
      </w:pPr>
    </w:p>
    <w:p>
      <w:pPr>
        <w:widowControl/>
        <w:shd w:val="clear" w:color="auto" w:fill="FFFFFF"/>
        <w:spacing w:line="555" w:lineRule="atLeast"/>
        <w:jc w:val="left"/>
        <w:rPr>
          <w:rFonts w:hint="eastAsia" w:cs="宋体" w:asciiTheme="minorEastAsia" w:hAnsiTheme="minorEastAsia"/>
          <w:b/>
          <w:kern w:val="0"/>
          <w:sz w:val="32"/>
          <w:szCs w:val="32"/>
        </w:rPr>
      </w:pPr>
    </w:p>
    <w:p>
      <w:pPr>
        <w:widowControl/>
        <w:shd w:val="clear" w:color="auto" w:fill="FFFFFF"/>
        <w:spacing w:line="555" w:lineRule="atLeast"/>
        <w:jc w:val="left"/>
        <w:rPr>
          <w:rFonts w:hint="eastAsia" w:cs="宋体" w:asciiTheme="minorEastAsia" w:hAnsiTheme="minorEastAsia"/>
          <w:b/>
          <w:kern w:val="0"/>
          <w:sz w:val="32"/>
          <w:szCs w:val="32"/>
        </w:rPr>
      </w:pPr>
    </w:p>
    <w:p>
      <w:pPr>
        <w:widowControl/>
        <w:shd w:val="clear" w:color="auto" w:fill="FFFFFF"/>
        <w:spacing w:line="555" w:lineRule="atLeast"/>
        <w:jc w:val="left"/>
        <w:rPr>
          <w:rFonts w:hint="eastAsia" w:cs="宋体" w:asciiTheme="minorEastAsia" w:hAnsiTheme="minorEastAsia"/>
          <w:b/>
          <w:kern w:val="0"/>
          <w:sz w:val="32"/>
          <w:szCs w:val="32"/>
        </w:rPr>
      </w:pPr>
    </w:p>
    <w:p>
      <w:pPr>
        <w:widowControl/>
        <w:shd w:val="clear" w:color="auto" w:fill="FFFFFF"/>
        <w:spacing w:line="555" w:lineRule="atLeast"/>
        <w:jc w:val="left"/>
        <w:rPr>
          <w:rFonts w:hint="eastAsia" w:cs="宋体" w:asciiTheme="minorEastAsia" w:hAnsiTheme="minorEastAsia"/>
          <w:b/>
          <w:kern w:val="0"/>
          <w:sz w:val="32"/>
          <w:szCs w:val="32"/>
        </w:rPr>
      </w:pPr>
    </w:p>
    <w:p>
      <w:pPr>
        <w:widowControl/>
        <w:shd w:val="clear" w:color="auto" w:fill="FFFFFF"/>
        <w:spacing w:line="555" w:lineRule="atLeast"/>
        <w:jc w:val="left"/>
        <w:rPr>
          <w:rFonts w:cs="宋体" w:asciiTheme="minorEastAsia" w:hAnsiTheme="minorEastAsia"/>
          <w:b/>
          <w:kern w:val="0"/>
          <w:sz w:val="32"/>
          <w:szCs w:val="32"/>
        </w:rPr>
      </w:pPr>
      <w:r>
        <w:rPr>
          <w:rFonts w:hint="eastAsia" w:cs="宋体" w:asciiTheme="minorEastAsia" w:hAnsiTheme="minorEastAsia"/>
          <w:b/>
          <w:kern w:val="0"/>
          <w:sz w:val="32"/>
          <w:szCs w:val="32"/>
        </w:rPr>
        <w:t>附表：</w:t>
      </w:r>
    </w:p>
    <w:p>
      <w:pPr>
        <w:widowControl/>
        <w:shd w:val="clear" w:color="auto" w:fill="FFFFFF"/>
        <w:spacing w:line="450" w:lineRule="atLeast"/>
        <w:jc w:val="center"/>
        <w:rPr>
          <w:rFonts w:ascii="方正小标宋简体" w:hAnsi="微软雅黑" w:eastAsia="方正小标宋简体" w:cs="宋体"/>
          <w:kern w:val="0"/>
          <w:sz w:val="24"/>
          <w:szCs w:val="24"/>
        </w:rPr>
      </w:pPr>
      <w:r>
        <w:rPr>
          <w:rFonts w:hint="eastAsia" w:ascii="方正小标宋简体" w:hAnsi="微软雅黑" w:eastAsia="方正小标宋简体" w:cs="宋体"/>
          <w:spacing w:val="-15"/>
          <w:kern w:val="0"/>
          <w:sz w:val="44"/>
          <w:szCs w:val="44"/>
        </w:rPr>
        <w:t>吉林省危险废物</w:t>
      </w:r>
      <w:r>
        <w:rPr>
          <w:rFonts w:hint="eastAsia" w:ascii="方正小标宋简体" w:hAnsi="Times New Roman" w:eastAsia="方正小标宋简体" w:cs="Times New Roman"/>
          <w:spacing w:val="-15"/>
          <w:kern w:val="0"/>
          <w:sz w:val="44"/>
          <w:szCs w:val="44"/>
        </w:rPr>
        <w:t>“</w:t>
      </w:r>
      <w:r>
        <w:rPr>
          <w:rFonts w:hint="eastAsia" w:ascii="方正小标宋简体" w:hAnsi="微软雅黑" w:eastAsia="方正小标宋简体" w:cs="宋体"/>
          <w:spacing w:val="-15"/>
          <w:kern w:val="0"/>
          <w:sz w:val="44"/>
          <w:szCs w:val="44"/>
        </w:rPr>
        <w:t>点对点</w:t>
      </w:r>
      <w:r>
        <w:rPr>
          <w:rFonts w:hint="eastAsia" w:ascii="方正小标宋简体" w:hAnsi="Times New Roman" w:eastAsia="方正小标宋简体" w:cs="Times New Roman"/>
          <w:spacing w:val="-15"/>
          <w:kern w:val="0"/>
          <w:sz w:val="44"/>
          <w:szCs w:val="44"/>
        </w:rPr>
        <w:t>”</w:t>
      </w:r>
      <w:r>
        <w:rPr>
          <w:rFonts w:hint="eastAsia" w:ascii="方正小标宋简体" w:hAnsi="微软雅黑" w:eastAsia="方正小标宋简体" w:cs="宋体"/>
          <w:spacing w:val="-15"/>
          <w:kern w:val="0"/>
          <w:sz w:val="44"/>
          <w:szCs w:val="44"/>
        </w:rPr>
        <w:t>定向利用申请表</w:t>
      </w:r>
    </w:p>
    <w:p>
      <w:pPr>
        <w:widowControl/>
        <w:shd w:val="clear" w:color="auto" w:fill="FFFFFF"/>
        <w:spacing w:line="300" w:lineRule="atLeast"/>
        <w:jc w:val="left"/>
        <w:rPr>
          <w:rFonts w:ascii="仿宋_GB2312" w:hAnsi="微软雅黑" w:eastAsia="仿宋_GB2312" w:cs="宋体"/>
          <w:kern w:val="0"/>
          <w:sz w:val="24"/>
          <w:szCs w:val="24"/>
        </w:rPr>
      </w:pPr>
      <w:r>
        <w:rPr>
          <w:rFonts w:hint="eastAsia" w:ascii="仿宋_GB2312" w:hAnsi="Times New Roman" w:eastAsia="仿宋_GB2312" w:cs="Times New Roman"/>
          <w:kern w:val="0"/>
          <w:sz w:val="32"/>
          <w:szCs w:val="32"/>
        </w:rPr>
        <w:t>○</w:t>
      </w:r>
      <w:r>
        <w:rPr>
          <w:rFonts w:hint="eastAsia" w:ascii="仿宋_GB2312" w:hAnsi="微软雅黑" w:eastAsia="仿宋_GB2312" w:cs="宋体"/>
          <w:kern w:val="0"/>
          <w:sz w:val="32"/>
          <w:szCs w:val="32"/>
        </w:rPr>
        <w:t>首次申请</w:t>
      </w:r>
      <w:r>
        <w:rPr>
          <w:rFonts w:hint="eastAsia" w:ascii="仿宋_GB2312" w:hAnsi="Times New Roman" w:eastAsia="仿宋_GB2312" w:cs="Times New Roman"/>
          <w:kern w:val="0"/>
          <w:sz w:val="32"/>
          <w:szCs w:val="32"/>
        </w:rPr>
        <w:t>    ○</w:t>
      </w:r>
      <w:r>
        <w:rPr>
          <w:rFonts w:hint="eastAsia" w:ascii="仿宋_GB2312" w:hAnsi="微软雅黑" w:eastAsia="仿宋_GB2312" w:cs="宋体"/>
          <w:kern w:val="0"/>
          <w:sz w:val="32"/>
          <w:szCs w:val="32"/>
        </w:rPr>
        <w:t>延期申请</w:t>
      </w:r>
      <w:r>
        <w:rPr>
          <w:rFonts w:hint="eastAsia" w:ascii="仿宋_GB2312" w:hAnsi="Times New Roman" w:eastAsia="仿宋_GB2312" w:cs="Times New Roman"/>
          <w:kern w:val="0"/>
          <w:sz w:val="32"/>
          <w:szCs w:val="32"/>
        </w:rPr>
        <w:t>   ○</w:t>
      </w:r>
      <w:r>
        <w:rPr>
          <w:rFonts w:hint="eastAsia" w:ascii="仿宋_GB2312" w:hAnsi="微软雅黑" w:eastAsia="仿宋_GB2312" w:cs="宋体"/>
          <w:kern w:val="0"/>
          <w:sz w:val="32"/>
          <w:szCs w:val="32"/>
        </w:rPr>
        <w:t>重新申请</w:t>
      </w:r>
      <w:r>
        <w:rPr>
          <w:rFonts w:hint="eastAsia" w:ascii="仿宋_GB2312" w:hAnsi="微软雅黑" w:eastAsia="仿宋_GB2312" w:cs="宋体"/>
          <w:kern w:val="0"/>
          <w:sz w:val="32"/>
          <w:szCs w:val="32"/>
          <w:lang w:eastAsia="zh-CN"/>
        </w:rPr>
        <w:t>或备案</w:t>
      </w:r>
      <w:r>
        <w:rPr>
          <w:rFonts w:hint="eastAsia" w:ascii="仿宋_GB2312" w:hAnsi="Times New Roman" w:eastAsia="仿宋_GB2312" w:cs="Times New Roman"/>
          <w:kern w:val="0"/>
          <w:sz w:val="32"/>
          <w:szCs w:val="32"/>
        </w:rPr>
        <w:t>  ○</w:t>
      </w:r>
      <w:r>
        <w:rPr>
          <w:rFonts w:hint="eastAsia" w:ascii="仿宋_GB2312" w:hAnsi="微软雅黑" w:eastAsia="仿宋_GB2312" w:cs="宋体"/>
          <w:kern w:val="0"/>
          <w:sz w:val="32"/>
          <w:szCs w:val="32"/>
        </w:rPr>
        <w:t>取消试点</w:t>
      </w:r>
    </w:p>
    <w:tbl>
      <w:tblPr>
        <w:tblStyle w:val="7"/>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695"/>
        <w:gridCol w:w="1962"/>
        <w:gridCol w:w="425"/>
        <w:gridCol w:w="1071"/>
        <w:gridCol w:w="567"/>
        <w:gridCol w:w="488"/>
        <w:gridCol w:w="748"/>
        <w:gridCol w:w="1237"/>
        <w:gridCol w:w="2087"/>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695"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产生单位</w:t>
            </w:r>
          </w:p>
        </w:tc>
        <w:tc>
          <w:tcPr>
            <w:tcW w:w="5261" w:type="dxa"/>
            <w:gridSpan w:val="6"/>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单位名称（章）：</w:t>
            </w:r>
          </w:p>
        </w:tc>
        <w:tc>
          <w:tcPr>
            <w:tcW w:w="3324"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统一社会信用代码：</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vMerge w:val="continue"/>
            <w:tcBorders>
              <w:left w:val="single" w:color="auto" w:sz="6" w:space="0"/>
              <w:right w:val="single" w:color="auto" w:sz="6" w:space="0"/>
            </w:tcBorders>
            <w:vAlign w:val="center"/>
          </w:tcPr>
          <w:p>
            <w:pPr>
              <w:widowControl/>
              <w:jc w:val="center"/>
              <w:rPr>
                <w:rFonts w:ascii="仿宋_GB2312" w:hAnsi="宋体" w:eastAsia="仿宋_GB2312" w:cs="宋体"/>
                <w:kern w:val="0"/>
                <w:sz w:val="24"/>
                <w:szCs w:val="24"/>
              </w:rPr>
            </w:pPr>
          </w:p>
        </w:tc>
        <w:tc>
          <w:tcPr>
            <w:tcW w:w="8585" w:type="dxa"/>
            <w:gridSpan w:val="8"/>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产废设施地址：</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0" w:type="auto"/>
            <w:vMerge w:val="continue"/>
            <w:tcBorders>
              <w:left w:val="single" w:color="auto" w:sz="6" w:space="0"/>
              <w:right w:val="single" w:color="auto" w:sz="6" w:space="0"/>
            </w:tcBorders>
            <w:vAlign w:val="center"/>
          </w:tcPr>
          <w:p>
            <w:pPr>
              <w:widowControl/>
              <w:jc w:val="center"/>
              <w:rPr>
                <w:rFonts w:ascii="仿宋_GB2312" w:hAnsi="宋体" w:eastAsia="仿宋_GB2312" w:cs="宋体"/>
                <w:kern w:val="0"/>
                <w:sz w:val="24"/>
                <w:szCs w:val="24"/>
              </w:rPr>
            </w:pPr>
          </w:p>
        </w:tc>
        <w:tc>
          <w:tcPr>
            <w:tcW w:w="1962" w:type="dxa"/>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法定代表人姓名</w:t>
            </w:r>
          </w:p>
        </w:tc>
        <w:tc>
          <w:tcPr>
            <w:tcW w:w="1496"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c>
          <w:tcPr>
            <w:tcW w:w="1803" w:type="dxa"/>
            <w:gridSpan w:val="3"/>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3324"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0" w:type="auto"/>
            <w:vMerge w:val="continue"/>
            <w:tcBorders>
              <w:left w:val="single" w:color="auto" w:sz="6" w:space="0"/>
              <w:right w:val="single" w:color="auto" w:sz="6" w:space="0"/>
            </w:tcBorders>
            <w:vAlign w:val="center"/>
          </w:tcPr>
          <w:p>
            <w:pPr>
              <w:widowControl/>
              <w:jc w:val="center"/>
              <w:rPr>
                <w:rFonts w:ascii="仿宋_GB2312" w:hAnsi="宋体" w:eastAsia="仿宋_GB2312" w:cs="宋体"/>
                <w:kern w:val="0"/>
                <w:sz w:val="24"/>
                <w:szCs w:val="24"/>
              </w:rPr>
            </w:pPr>
          </w:p>
        </w:tc>
        <w:tc>
          <w:tcPr>
            <w:tcW w:w="1962" w:type="dxa"/>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联系人姓名</w:t>
            </w:r>
          </w:p>
        </w:tc>
        <w:tc>
          <w:tcPr>
            <w:tcW w:w="1496"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c>
          <w:tcPr>
            <w:tcW w:w="1803" w:type="dxa"/>
            <w:gridSpan w:val="3"/>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3324"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0" w:type="auto"/>
            <w:vMerge w:val="continue"/>
            <w:tcBorders>
              <w:left w:val="single" w:color="auto" w:sz="6" w:space="0"/>
              <w:right w:val="single" w:color="auto" w:sz="6" w:space="0"/>
            </w:tcBorders>
            <w:vAlign w:val="center"/>
          </w:tcPr>
          <w:p>
            <w:pPr>
              <w:widowControl/>
              <w:jc w:val="center"/>
              <w:rPr>
                <w:rFonts w:ascii="仿宋_GB2312" w:hAnsi="宋体" w:eastAsia="仿宋_GB2312" w:cs="宋体"/>
                <w:kern w:val="0"/>
                <w:sz w:val="24"/>
                <w:szCs w:val="24"/>
              </w:rPr>
            </w:pPr>
          </w:p>
        </w:tc>
        <w:tc>
          <w:tcPr>
            <w:tcW w:w="1962" w:type="dxa"/>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废物名称</w:t>
            </w:r>
          </w:p>
        </w:tc>
        <w:tc>
          <w:tcPr>
            <w:tcW w:w="1496"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c>
          <w:tcPr>
            <w:tcW w:w="1803" w:type="dxa"/>
            <w:gridSpan w:val="3"/>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废物代码</w:t>
            </w:r>
          </w:p>
        </w:tc>
        <w:tc>
          <w:tcPr>
            <w:tcW w:w="3324"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0" w:type="auto"/>
            <w:vMerge w:val="continue"/>
            <w:tcBorders>
              <w:left w:val="single" w:color="auto" w:sz="6" w:space="0"/>
              <w:bottom w:val="single" w:color="auto" w:sz="6" w:space="0"/>
              <w:right w:val="single" w:color="auto" w:sz="6" w:space="0"/>
            </w:tcBorders>
            <w:vAlign w:val="center"/>
          </w:tcPr>
          <w:p>
            <w:pPr>
              <w:widowControl/>
              <w:jc w:val="center"/>
              <w:rPr>
                <w:rFonts w:ascii="仿宋_GB2312" w:hAnsi="宋体" w:eastAsia="仿宋_GB2312" w:cs="宋体"/>
                <w:kern w:val="0"/>
                <w:sz w:val="24"/>
                <w:szCs w:val="24"/>
              </w:rPr>
            </w:pPr>
          </w:p>
        </w:tc>
        <w:tc>
          <w:tcPr>
            <w:tcW w:w="1962" w:type="dxa"/>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产生量（吨/年）</w:t>
            </w:r>
          </w:p>
        </w:tc>
        <w:tc>
          <w:tcPr>
            <w:tcW w:w="1496"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c>
          <w:tcPr>
            <w:tcW w:w="1803" w:type="dxa"/>
            <w:gridSpan w:val="3"/>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废物中可利用物质及含量</w:t>
            </w:r>
          </w:p>
        </w:tc>
        <w:tc>
          <w:tcPr>
            <w:tcW w:w="3324"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695" w:type="dxa"/>
            <w:vMerge w:val="restart"/>
            <w:tcBorders>
              <w:top w:val="nil"/>
              <w:left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利用单位</w:t>
            </w:r>
          </w:p>
        </w:tc>
        <w:tc>
          <w:tcPr>
            <w:tcW w:w="5261" w:type="dxa"/>
            <w:gridSpan w:val="6"/>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单位名称（章）：</w:t>
            </w:r>
          </w:p>
        </w:tc>
        <w:tc>
          <w:tcPr>
            <w:tcW w:w="3324"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统一社会信用代码：</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0" w:type="auto"/>
            <w:vMerge w:val="continue"/>
            <w:tcBorders>
              <w:left w:val="single" w:color="auto" w:sz="6" w:space="0"/>
              <w:right w:val="single" w:color="auto" w:sz="6" w:space="0"/>
            </w:tcBorders>
            <w:vAlign w:val="center"/>
          </w:tcPr>
          <w:p>
            <w:pPr>
              <w:widowControl/>
              <w:jc w:val="left"/>
              <w:rPr>
                <w:rFonts w:ascii="仿宋_GB2312" w:hAnsi="宋体" w:eastAsia="仿宋_GB2312" w:cs="宋体"/>
                <w:kern w:val="0"/>
                <w:sz w:val="24"/>
                <w:szCs w:val="24"/>
              </w:rPr>
            </w:pPr>
          </w:p>
        </w:tc>
        <w:tc>
          <w:tcPr>
            <w:tcW w:w="8585" w:type="dxa"/>
            <w:gridSpan w:val="8"/>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废物利用设施地址：</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vMerge w:val="continue"/>
            <w:tcBorders>
              <w:left w:val="single" w:color="auto" w:sz="6" w:space="0"/>
              <w:right w:val="single" w:color="auto" w:sz="6" w:space="0"/>
            </w:tcBorders>
            <w:vAlign w:val="center"/>
          </w:tcPr>
          <w:p>
            <w:pPr>
              <w:widowControl/>
              <w:jc w:val="left"/>
              <w:rPr>
                <w:rFonts w:ascii="仿宋_GB2312" w:hAnsi="宋体" w:eastAsia="仿宋_GB2312" w:cs="宋体"/>
                <w:kern w:val="0"/>
                <w:sz w:val="24"/>
                <w:szCs w:val="24"/>
              </w:rPr>
            </w:pPr>
          </w:p>
        </w:tc>
        <w:tc>
          <w:tcPr>
            <w:tcW w:w="2387"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法定代表人姓名</w:t>
            </w:r>
          </w:p>
        </w:tc>
        <w:tc>
          <w:tcPr>
            <w:tcW w:w="2126" w:type="dxa"/>
            <w:gridSpan w:val="3"/>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c>
          <w:tcPr>
            <w:tcW w:w="1985"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208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0" w:type="auto"/>
            <w:vMerge w:val="continue"/>
            <w:tcBorders>
              <w:left w:val="single" w:color="auto" w:sz="6" w:space="0"/>
              <w:right w:val="single" w:color="auto" w:sz="6" w:space="0"/>
            </w:tcBorders>
            <w:vAlign w:val="center"/>
          </w:tcPr>
          <w:p>
            <w:pPr>
              <w:widowControl/>
              <w:jc w:val="left"/>
              <w:rPr>
                <w:rFonts w:ascii="仿宋_GB2312" w:hAnsi="宋体" w:eastAsia="仿宋_GB2312" w:cs="宋体"/>
                <w:kern w:val="0"/>
                <w:sz w:val="24"/>
                <w:szCs w:val="24"/>
              </w:rPr>
            </w:pPr>
          </w:p>
        </w:tc>
        <w:tc>
          <w:tcPr>
            <w:tcW w:w="2387"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联系人姓名</w:t>
            </w:r>
          </w:p>
        </w:tc>
        <w:tc>
          <w:tcPr>
            <w:tcW w:w="2126" w:type="dxa"/>
            <w:gridSpan w:val="3"/>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c>
          <w:tcPr>
            <w:tcW w:w="1985"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208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0" w:type="auto"/>
            <w:vMerge w:val="continue"/>
            <w:tcBorders>
              <w:left w:val="single" w:color="auto" w:sz="6" w:space="0"/>
              <w:right w:val="single" w:color="auto" w:sz="6" w:space="0"/>
            </w:tcBorders>
            <w:vAlign w:val="center"/>
          </w:tcPr>
          <w:p>
            <w:pPr>
              <w:widowControl/>
              <w:jc w:val="left"/>
              <w:rPr>
                <w:rFonts w:ascii="仿宋_GB2312" w:hAnsi="宋体" w:eastAsia="仿宋_GB2312" w:cs="宋体"/>
                <w:kern w:val="0"/>
                <w:sz w:val="24"/>
                <w:szCs w:val="24"/>
              </w:rPr>
            </w:pPr>
          </w:p>
        </w:tc>
        <w:tc>
          <w:tcPr>
            <w:tcW w:w="2387"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利用工艺</w:t>
            </w:r>
          </w:p>
        </w:tc>
        <w:tc>
          <w:tcPr>
            <w:tcW w:w="2126" w:type="dxa"/>
            <w:gridSpan w:val="3"/>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c>
          <w:tcPr>
            <w:tcW w:w="1985"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利用量（吨/年）</w:t>
            </w:r>
          </w:p>
        </w:tc>
        <w:tc>
          <w:tcPr>
            <w:tcW w:w="208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0" w:type="auto"/>
            <w:vMerge w:val="continue"/>
            <w:tcBorders>
              <w:left w:val="single" w:color="auto" w:sz="6" w:space="0"/>
              <w:right w:val="single" w:color="auto" w:sz="6" w:space="0"/>
            </w:tcBorders>
            <w:vAlign w:val="center"/>
          </w:tcPr>
          <w:p>
            <w:pPr>
              <w:widowControl/>
              <w:jc w:val="left"/>
              <w:rPr>
                <w:rFonts w:ascii="仿宋_GB2312" w:hAnsi="宋体" w:eastAsia="仿宋_GB2312" w:cs="宋体"/>
                <w:kern w:val="0"/>
                <w:sz w:val="24"/>
                <w:szCs w:val="24"/>
              </w:rPr>
            </w:pPr>
          </w:p>
        </w:tc>
        <w:tc>
          <w:tcPr>
            <w:tcW w:w="2387"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产品名称</w:t>
            </w:r>
          </w:p>
        </w:tc>
        <w:tc>
          <w:tcPr>
            <w:tcW w:w="2126" w:type="dxa"/>
            <w:gridSpan w:val="3"/>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c>
          <w:tcPr>
            <w:tcW w:w="1985"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产品用途</w:t>
            </w:r>
          </w:p>
        </w:tc>
        <w:tc>
          <w:tcPr>
            <w:tcW w:w="208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0" w:type="auto"/>
            <w:vMerge w:val="continue"/>
            <w:tcBorders>
              <w:left w:val="single" w:color="auto" w:sz="6" w:space="0"/>
              <w:bottom w:val="single" w:color="auto" w:sz="6" w:space="0"/>
              <w:right w:val="single" w:color="auto" w:sz="6" w:space="0"/>
            </w:tcBorders>
            <w:vAlign w:val="center"/>
          </w:tcPr>
          <w:p>
            <w:pPr>
              <w:widowControl/>
              <w:jc w:val="left"/>
              <w:rPr>
                <w:rFonts w:ascii="仿宋_GB2312" w:hAnsi="宋体" w:eastAsia="仿宋_GB2312" w:cs="宋体"/>
                <w:kern w:val="0"/>
                <w:sz w:val="24"/>
                <w:szCs w:val="24"/>
              </w:rPr>
            </w:pPr>
          </w:p>
        </w:tc>
        <w:tc>
          <w:tcPr>
            <w:tcW w:w="2387"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产品质量标准（国家、地方、行业）</w:t>
            </w:r>
          </w:p>
        </w:tc>
        <w:tc>
          <w:tcPr>
            <w:tcW w:w="2126" w:type="dxa"/>
            <w:gridSpan w:val="3"/>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c>
          <w:tcPr>
            <w:tcW w:w="1985"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产品标准值</w:t>
            </w:r>
          </w:p>
        </w:tc>
        <w:tc>
          <w:tcPr>
            <w:tcW w:w="208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65" w:hRule="atLeast"/>
          <w:jc w:val="center"/>
        </w:trPr>
        <w:tc>
          <w:tcPr>
            <w:tcW w:w="9280" w:type="dxa"/>
            <w:gridSpan w:val="9"/>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产生单位概况（简述产生单位主要生产工艺、主要原辅料、主要产品等情况，</w:t>
            </w:r>
            <w:r>
              <w:rPr>
                <w:rFonts w:hint="eastAsia" w:ascii="仿宋_GB2312" w:hAnsi="Times New Roman" w:eastAsia="仿宋_GB2312" w:cs="Times New Roman"/>
                <w:kern w:val="0"/>
                <w:sz w:val="24"/>
                <w:szCs w:val="24"/>
              </w:rPr>
              <w:t>“</w:t>
            </w:r>
            <w:r>
              <w:rPr>
                <w:rFonts w:hint="eastAsia" w:ascii="仿宋_GB2312" w:hAnsi="宋体" w:eastAsia="仿宋_GB2312" w:cs="宋体"/>
                <w:kern w:val="0"/>
                <w:sz w:val="24"/>
                <w:szCs w:val="24"/>
              </w:rPr>
              <w:t>点对点</w:t>
            </w:r>
            <w:r>
              <w:rPr>
                <w:rFonts w:hint="eastAsia" w:ascii="仿宋_GB2312" w:hAnsi="Times New Roman" w:eastAsia="仿宋_GB2312" w:cs="Times New Roman"/>
                <w:kern w:val="0"/>
                <w:sz w:val="24"/>
                <w:szCs w:val="24"/>
              </w:rPr>
              <w:t>”</w:t>
            </w:r>
            <w:r>
              <w:rPr>
                <w:rFonts w:hint="eastAsia" w:ascii="仿宋_GB2312" w:hAnsi="宋体" w:eastAsia="仿宋_GB2312" w:cs="宋体"/>
                <w:kern w:val="0"/>
                <w:sz w:val="24"/>
                <w:szCs w:val="24"/>
              </w:rPr>
              <w:t>定向利用的危险废物产生环节</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产生量、主要组分及含量、有价组分和有毒有害成分及含量、理化特性等，附与利用单位共同编制的环境风险评估方案、专家意见以及相应的佐证材料） </w:t>
            </w:r>
          </w:p>
          <w:p>
            <w:pPr>
              <w:widowControl/>
              <w:ind w:left="2205"/>
              <w:jc w:val="left"/>
              <w:rPr>
                <w:rFonts w:ascii="仿宋_GB2312" w:hAnsi="宋体" w:eastAsia="仿宋_GB2312" w:cs="宋体"/>
                <w:kern w:val="0"/>
                <w:sz w:val="24"/>
                <w:szCs w:val="24"/>
              </w:rPr>
            </w:pPr>
          </w:p>
          <w:p>
            <w:pPr>
              <w:widowControl/>
              <w:ind w:left="2205"/>
              <w:jc w:val="left"/>
              <w:rPr>
                <w:rFonts w:ascii="仿宋_GB2312" w:hAnsi="宋体" w:eastAsia="仿宋_GB2312"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060" w:hRule="atLeast"/>
          <w:jc w:val="center"/>
        </w:trPr>
        <w:tc>
          <w:tcPr>
            <w:tcW w:w="9280" w:type="dxa"/>
            <w:gridSpan w:val="9"/>
            <w:tcBorders>
              <w:top w:val="nil"/>
              <w:left w:val="single" w:color="auto" w:sz="6" w:space="0"/>
              <w:bottom w:val="single" w:color="auto" w:sz="4" w:space="0"/>
              <w:right w:val="single" w:color="auto" w:sz="6" w:space="0"/>
            </w:tcBorders>
            <w:tcMar>
              <w:top w:w="0" w:type="dxa"/>
              <w:left w:w="105" w:type="dxa"/>
              <w:bottom w:w="0" w:type="dxa"/>
              <w:right w:w="105" w:type="dxa"/>
            </w:tcMa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利用单位概况（简述利用单位主要生产工艺、主要原辅料、主要产品等情况，被替代原料有用组分和有毒有害成分含量、危险废物利用工艺、污染防治措施、</w:t>
            </w:r>
            <w:r>
              <w:rPr>
                <w:rFonts w:hint="eastAsia" w:ascii="仿宋_GB2312" w:hAnsi="宋体" w:eastAsia="仿宋_GB2312" w:cs="宋体"/>
                <w:kern w:val="0"/>
                <w:sz w:val="24"/>
                <w:szCs w:val="24"/>
                <w:lang w:eastAsia="zh-CN"/>
              </w:rPr>
              <w:t>利用过程中</w:t>
            </w:r>
            <w:r>
              <w:rPr>
                <w:rFonts w:hint="eastAsia" w:ascii="仿宋_GB2312" w:hAnsi="宋体" w:eastAsia="仿宋_GB2312" w:cs="宋体"/>
                <w:kern w:val="0"/>
                <w:sz w:val="24"/>
                <w:szCs w:val="24"/>
              </w:rPr>
              <w:t>产生的废物去向及利用</w:t>
            </w:r>
            <w:r>
              <w:rPr>
                <w:rFonts w:hint="eastAsia" w:ascii="仿宋_GB2312" w:hAnsi="宋体" w:eastAsia="仿宋_GB2312" w:cs="宋体"/>
                <w:kern w:val="0"/>
                <w:sz w:val="24"/>
                <w:szCs w:val="24"/>
                <w:lang w:eastAsia="zh-CN"/>
              </w:rPr>
              <w:t>过程污染防治</w:t>
            </w:r>
            <w:r>
              <w:rPr>
                <w:rFonts w:hint="eastAsia" w:ascii="仿宋_GB2312" w:hAnsi="宋体" w:eastAsia="仿宋_GB2312" w:cs="宋体"/>
                <w:kern w:val="0"/>
                <w:sz w:val="24"/>
                <w:szCs w:val="24"/>
              </w:rPr>
              <w:t>措施、最终产品执行标准及质量控制措施</w:t>
            </w:r>
            <w:r>
              <w:rPr>
                <w:rFonts w:hint="eastAsia" w:ascii="仿宋_GB2312" w:hAnsi="宋体" w:eastAsia="仿宋_GB2312" w:cs="宋体"/>
                <w:kern w:val="0"/>
                <w:sz w:val="24"/>
                <w:szCs w:val="24"/>
                <w:lang w:eastAsia="zh-CN"/>
              </w:rPr>
              <w:t>和产品</w:t>
            </w:r>
            <w:r>
              <w:rPr>
                <w:rFonts w:hint="eastAsia" w:ascii="仿宋_GB2312" w:hAnsi="宋体" w:eastAsia="仿宋_GB2312" w:cs="宋体"/>
                <w:kern w:val="0"/>
                <w:sz w:val="24"/>
                <w:szCs w:val="24"/>
              </w:rPr>
              <w:t>去向等，附与产生单位共同编制的环境风险评估方案、专家意见以及相应的佐证材料）：</w:t>
            </w:r>
          </w:p>
          <w:p>
            <w:pPr>
              <w:widowControl/>
              <w:jc w:val="left"/>
              <w:rPr>
                <w:rFonts w:ascii="仿宋_GB2312" w:hAnsi="宋体" w:eastAsia="仿宋_GB2312"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674" w:hRule="atLeast"/>
          <w:jc w:val="center"/>
        </w:trPr>
        <w:tc>
          <w:tcPr>
            <w:tcW w:w="4720" w:type="dxa"/>
            <w:gridSpan w:val="5"/>
            <w:tcBorders>
              <w:top w:val="single" w:color="auto" w:sz="4" w:space="0"/>
              <w:left w:val="single" w:color="auto" w:sz="6" w:space="0"/>
              <w:bottom w:val="single" w:color="auto" w:sz="4" w:space="0"/>
              <w:right w:val="single" w:color="auto" w:sz="6" w:space="0"/>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产生单位</w:t>
            </w:r>
            <w:r>
              <w:rPr>
                <w:rFonts w:hint="eastAsia" w:ascii="仿宋_GB2312" w:hAnsi="宋体" w:eastAsia="仿宋_GB2312" w:cs="宋体"/>
                <w:kern w:val="0"/>
                <w:sz w:val="24"/>
                <w:szCs w:val="24"/>
                <w:lang w:eastAsia="zh-CN"/>
              </w:rPr>
              <w:t>所在地</w:t>
            </w:r>
            <w:r>
              <w:rPr>
                <w:rFonts w:hint="eastAsia" w:ascii="仿宋_GB2312" w:hAnsi="宋体" w:eastAsia="仿宋_GB2312" w:cs="宋体"/>
                <w:kern w:val="0"/>
                <w:sz w:val="24"/>
                <w:szCs w:val="24"/>
              </w:rPr>
              <w:t>设区的市级生态环境局初步核实意见：   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rPr>
              <w:t>         </w:t>
            </w:r>
            <w:r>
              <w:rPr>
                <w:rFonts w:hint="eastAsia" w:ascii="仿宋_GB2312" w:hAnsi="Times New Roman" w:eastAsia="仿宋_GB2312" w:cs="Times New Roman"/>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Times New Roman" w:eastAsia="仿宋_GB2312" w:cs="Times New Roman"/>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Times New Roman" w:eastAsia="仿宋_GB2312" w:cs="Times New Roman"/>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2160" w:firstLineChars="900"/>
              <w:jc w:val="left"/>
              <w:textAlignment w:val="auto"/>
              <w:rPr>
                <w:rFonts w:ascii="仿宋_GB2312" w:hAnsi="宋体" w:eastAsia="仿宋_GB2312" w:cs="宋体"/>
                <w:kern w:val="0"/>
                <w:sz w:val="24"/>
                <w:szCs w:val="24"/>
              </w:rPr>
            </w:pPr>
            <w:r>
              <w:rPr>
                <w:rFonts w:hint="eastAsia" w:ascii="仿宋_GB2312" w:hAnsi="Times New Roman" w:eastAsia="仿宋_GB2312" w:cs="Times New Roman"/>
                <w:kern w:val="0"/>
                <w:sz w:val="24"/>
                <w:szCs w:val="24"/>
                <w:lang w:val="en-US" w:eastAsia="zh-CN"/>
              </w:rPr>
              <w:t xml:space="preserve">      </w:t>
            </w:r>
            <w:r>
              <w:rPr>
                <w:rFonts w:hint="eastAsia" w:ascii="仿宋_GB2312" w:hAnsi="Times New Roman" w:eastAsia="仿宋_GB2312" w:cs="Times New Roman"/>
                <w:kern w:val="0"/>
                <w:sz w:val="24"/>
                <w:szCs w:val="24"/>
              </w:rPr>
              <w:t> </w:t>
            </w:r>
            <w:r>
              <w:rPr>
                <w:rFonts w:hint="eastAsia" w:ascii="仿宋_GB2312" w:hAnsi="宋体" w:eastAsia="仿宋_GB2312" w:cs="宋体"/>
                <w:kern w:val="0"/>
                <w:sz w:val="24"/>
                <w:szCs w:val="24"/>
              </w:rPr>
              <w:t>年</w:t>
            </w:r>
            <w:r>
              <w:rPr>
                <w:rFonts w:hint="eastAsia" w:ascii="仿宋_GB2312" w:hAnsi="Times New Roman" w:eastAsia="仿宋_GB2312" w:cs="Times New Roman"/>
                <w:kern w:val="0"/>
                <w:sz w:val="24"/>
                <w:szCs w:val="24"/>
              </w:rPr>
              <w:t>   </w:t>
            </w:r>
            <w:r>
              <w:rPr>
                <w:rFonts w:hint="eastAsia" w:ascii="仿宋_GB2312" w:hAnsi="宋体" w:eastAsia="仿宋_GB2312" w:cs="宋体"/>
                <w:kern w:val="0"/>
                <w:sz w:val="24"/>
                <w:szCs w:val="24"/>
              </w:rPr>
              <w:t>月</w:t>
            </w:r>
            <w:r>
              <w:rPr>
                <w:rFonts w:hint="eastAsia" w:ascii="仿宋_GB2312" w:hAnsi="Times New Roman" w:eastAsia="仿宋_GB2312" w:cs="Times New Roman"/>
                <w:kern w:val="0"/>
                <w:sz w:val="24"/>
                <w:szCs w:val="24"/>
              </w:rPr>
              <w:t>    </w:t>
            </w:r>
            <w:r>
              <w:rPr>
                <w:rFonts w:hint="eastAsia" w:ascii="仿宋_GB2312" w:hAnsi="宋体" w:eastAsia="仿宋_GB2312" w:cs="宋体"/>
                <w:kern w:val="0"/>
                <w:sz w:val="24"/>
                <w:szCs w:val="24"/>
              </w:rPr>
              <w:t>日</w:t>
            </w:r>
          </w:p>
        </w:tc>
        <w:tc>
          <w:tcPr>
            <w:tcW w:w="4560" w:type="dxa"/>
            <w:gridSpan w:val="4"/>
            <w:tcBorders>
              <w:top w:val="single" w:color="auto" w:sz="4" w:space="0"/>
              <w:left w:val="nil"/>
              <w:bottom w:val="single" w:color="auto" w:sz="4" w:space="0"/>
              <w:right w:val="single" w:color="auto" w:sz="6" w:space="0"/>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利用单位</w:t>
            </w:r>
            <w:r>
              <w:rPr>
                <w:rFonts w:hint="eastAsia" w:ascii="仿宋_GB2312" w:hAnsi="宋体" w:eastAsia="仿宋_GB2312" w:cs="宋体"/>
                <w:kern w:val="0"/>
                <w:sz w:val="24"/>
                <w:szCs w:val="24"/>
                <w:lang w:eastAsia="zh-CN"/>
              </w:rPr>
              <w:t>所在地</w:t>
            </w:r>
            <w:r>
              <w:rPr>
                <w:rFonts w:hint="eastAsia" w:ascii="仿宋_GB2312" w:hAnsi="宋体" w:eastAsia="仿宋_GB2312" w:cs="宋体"/>
                <w:kern w:val="0"/>
                <w:sz w:val="24"/>
                <w:szCs w:val="24"/>
              </w:rPr>
              <w:t>设区的市级生态环境局初步核实意见：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w:t>
            </w:r>
          </w:p>
          <w:p>
            <w:pPr>
              <w:keepNext w:val="0"/>
              <w:keepLines w:val="0"/>
              <w:pageBreakBefore w:val="0"/>
              <w:widowControl/>
              <w:kinsoku/>
              <w:wordWrap/>
              <w:overflowPunct/>
              <w:topLinePunct w:val="0"/>
              <w:autoSpaceDE/>
              <w:autoSpaceDN/>
              <w:bidi w:val="0"/>
              <w:adjustRightInd/>
              <w:snapToGrid/>
              <w:spacing w:line="240" w:lineRule="exact"/>
              <w:ind w:firstLine="2160" w:firstLineChars="900"/>
              <w:jc w:val="left"/>
              <w:textAlignment w:val="auto"/>
              <w:rPr>
                <w:rFonts w:hint="eastAsia"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adjustRightInd/>
              <w:snapToGrid/>
              <w:spacing w:line="240" w:lineRule="exact"/>
              <w:ind w:firstLine="2160" w:firstLineChars="900"/>
              <w:jc w:val="left"/>
              <w:textAlignment w:val="auto"/>
              <w:rPr>
                <w:rFonts w:hint="eastAsia"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adjustRightInd/>
              <w:snapToGrid/>
              <w:spacing w:line="240" w:lineRule="exact"/>
              <w:ind w:firstLine="2640" w:firstLineChars="11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年   月    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9280" w:type="dxa"/>
            <w:gridSpan w:val="9"/>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tcPr>
          <w:p>
            <w:pPr>
              <w:widowControl/>
              <w:ind w:firstLine="42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我特此确认，本申请表所填写内容及所附文件和材料均为真实，承诺按照环境风险评估方案的内容和生态环境部门的要求开展危险废物的</w:t>
            </w:r>
            <w:r>
              <w:rPr>
                <w:rFonts w:hint="eastAsia" w:ascii="仿宋_GB2312" w:hAnsi="Times New Roman" w:eastAsia="仿宋_GB2312" w:cs="Times New Roman"/>
                <w:kern w:val="0"/>
                <w:sz w:val="24"/>
                <w:szCs w:val="24"/>
              </w:rPr>
              <w:t>“</w:t>
            </w:r>
            <w:r>
              <w:rPr>
                <w:rFonts w:hint="eastAsia" w:ascii="仿宋_GB2312" w:hAnsi="宋体" w:eastAsia="仿宋_GB2312" w:cs="宋体"/>
                <w:kern w:val="0"/>
                <w:sz w:val="24"/>
                <w:szCs w:val="24"/>
              </w:rPr>
              <w:t>点对点</w:t>
            </w:r>
            <w:r>
              <w:rPr>
                <w:rFonts w:hint="eastAsia" w:ascii="仿宋_GB2312" w:hAnsi="Times New Roman" w:eastAsia="仿宋_GB2312" w:cs="Times New Roman"/>
                <w:kern w:val="0"/>
                <w:sz w:val="24"/>
                <w:szCs w:val="24"/>
              </w:rPr>
              <w:t>”</w:t>
            </w:r>
            <w:r>
              <w:rPr>
                <w:rFonts w:hint="eastAsia" w:ascii="仿宋_GB2312" w:hAnsi="宋体" w:eastAsia="仿宋_GB2312" w:cs="宋体"/>
                <w:kern w:val="0"/>
                <w:sz w:val="24"/>
                <w:szCs w:val="24"/>
              </w:rPr>
              <w:t>定向利用活动，严格执行危险废物</w:t>
            </w:r>
            <w:r>
              <w:rPr>
                <w:rFonts w:hint="eastAsia" w:ascii="仿宋_GB2312" w:hAnsi="宋体" w:eastAsia="仿宋_GB2312" w:cs="宋体"/>
                <w:kern w:val="0"/>
                <w:sz w:val="24"/>
                <w:szCs w:val="24"/>
                <w:lang w:eastAsia="zh-CN"/>
              </w:rPr>
              <w:t>环境</w:t>
            </w:r>
            <w:r>
              <w:rPr>
                <w:rFonts w:hint="eastAsia" w:ascii="仿宋_GB2312" w:hAnsi="宋体" w:eastAsia="仿宋_GB2312" w:cs="宋体"/>
                <w:kern w:val="0"/>
                <w:sz w:val="24"/>
                <w:szCs w:val="24"/>
              </w:rPr>
              <w:t>管理各项制度，并承担申报内容不实之后果。</w:t>
            </w:r>
          </w:p>
          <w:p>
            <w:pPr>
              <w:widowControl/>
              <w:jc w:val="left"/>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产生单位法定代表人：</w:t>
            </w:r>
            <w:r>
              <w:rPr>
                <w:rFonts w:hint="eastAsia" w:ascii="仿宋_GB2312" w:hAnsi="Times New Roman" w:eastAsia="仿宋_GB2312" w:cs="Times New Roman"/>
                <w:kern w:val="0"/>
                <w:sz w:val="24"/>
                <w:szCs w:val="24"/>
                <w:u w:val="single"/>
              </w:rPr>
              <w:t>        </w:t>
            </w:r>
            <w:r>
              <w:rPr>
                <w:rFonts w:hint="eastAsia" w:ascii="仿宋_GB2312" w:hAnsi="宋体" w:eastAsia="仿宋_GB2312" w:cs="宋体"/>
                <w:kern w:val="0"/>
                <w:sz w:val="24"/>
                <w:szCs w:val="24"/>
              </w:rPr>
              <w:t>（签章） 时间：</w:t>
            </w:r>
            <w:r>
              <w:rPr>
                <w:rFonts w:hint="eastAsia" w:ascii="仿宋_GB2312" w:hAnsi="Times New Roman" w:eastAsia="仿宋_GB2312" w:cs="Times New Roman"/>
                <w:kern w:val="0"/>
                <w:sz w:val="24"/>
                <w:szCs w:val="24"/>
              </w:rPr>
              <w:t>           </w:t>
            </w:r>
          </w:p>
          <w:p>
            <w:pPr>
              <w:widowControl/>
              <w:jc w:val="left"/>
              <w:rPr>
                <w:rFonts w:ascii="仿宋_GB2312" w:hAnsi="宋体" w:eastAsia="仿宋_GB2312" w:cs="宋体"/>
                <w:kern w:val="0"/>
                <w:sz w:val="24"/>
                <w:szCs w:val="24"/>
              </w:rPr>
            </w:pP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利用单位法定代表人：</w:t>
            </w:r>
            <w:r>
              <w:rPr>
                <w:rFonts w:hint="eastAsia" w:ascii="仿宋_GB2312" w:hAnsi="Times New Roman" w:eastAsia="仿宋_GB2312" w:cs="Times New Roman"/>
                <w:kern w:val="0"/>
                <w:sz w:val="24"/>
                <w:szCs w:val="24"/>
                <w:u w:val="single"/>
              </w:rPr>
              <w:t>        </w:t>
            </w:r>
            <w:r>
              <w:rPr>
                <w:rFonts w:hint="eastAsia" w:ascii="仿宋_GB2312" w:hAnsi="宋体" w:eastAsia="仿宋_GB2312" w:cs="宋体"/>
                <w:kern w:val="0"/>
                <w:sz w:val="24"/>
                <w:szCs w:val="24"/>
              </w:rPr>
              <w:t>（签章） 时间：</w:t>
            </w:r>
          </w:p>
          <w:p>
            <w:pPr>
              <w:widowControl/>
              <w:jc w:val="left"/>
              <w:rPr>
                <w:rFonts w:ascii="仿宋_GB2312" w:hAnsi="宋体" w:eastAsia="仿宋_GB2312"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681" w:hRule="atLeast"/>
          <w:jc w:val="center"/>
        </w:trPr>
        <w:tc>
          <w:tcPr>
            <w:tcW w:w="9280" w:type="dxa"/>
            <w:gridSpan w:val="9"/>
            <w:tcBorders>
              <w:top w:val="nil"/>
              <w:left w:val="single" w:color="auto" w:sz="6" w:space="0"/>
              <w:bottom w:val="single" w:color="auto" w:sz="6" w:space="0"/>
              <w:right w:val="single" w:color="auto" w:sz="6" w:space="0"/>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提交材料清单（首次申请的提交材料1～9；重新申请、延期申请的提交材料1～10；营业执照相关信息出现变化的提交材料11；取消豁免的提交材料12）：</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1.产生单位与利用单位签订的危险废物利用合同（有效期内）；</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2.产生单位和利用单位营业执照复印件；</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r>
              <w:rPr>
                <w:rFonts w:hint="eastAsia" w:ascii="仿宋_GB2312" w:hAnsi="Times New Roman" w:eastAsia="仿宋_GB2312" w:cs="Times New Roman"/>
                <w:kern w:val="0"/>
                <w:sz w:val="24"/>
                <w:szCs w:val="24"/>
                <w:lang w:val="en-US" w:eastAsia="zh-CN"/>
              </w:rPr>
              <w:t>利用单位提供1名以上环境工程专业或者相关专业中级以上职称，并有3年以上固体废物污染治理经历的技术人员的证明材料，主要包括学历和学位证书、职称证书、劳动合同、经历证明等扫描件</w:t>
            </w:r>
            <w:r>
              <w:rPr>
                <w:rFonts w:hint="eastAsia" w:ascii="仿宋_GB2312" w:hAnsi="Times New Roman" w:eastAsia="仿宋_GB2312" w:cs="Times New Roman"/>
                <w:kern w:val="0"/>
                <w:sz w:val="24"/>
                <w:szCs w:val="24"/>
              </w:rPr>
              <w:t>；</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4.利用单位包装工具、中转和临时存放设施、贮存设施设备清单、照片，利用设施设备、配套的污染防治设施的清单、说明及照片；</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5.与“点对点”定向利用有关的产废设施和利用设施环评</w:t>
            </w:r>
            <w:r>
              <w:rPr>
                <w:rFonts w:hint="eastAsia" w:ascii="仿宋_GB2312" w:hAnsi="Times New Roman" w:eastAsia="仿宋_GB2312" w:cs="Times New Roman"/>
                <w:kern w:val="0"/>
                <w:sz w:val="24"/>
                <w:szCs w:val="24"/>
                <w:lang w:eastAsia="zh-CN"/>
              </w:rPr>
              <w:t>文件</w:t>
            </w:r>
            <w:r>
              <w:rPr>
                <w:rFonts w:hint="eastAsia" w:ascii="仿宋_GB2312" w:hAnsi="Times New Roman" w:eastAsia="仿宋_GB2312" w:cs="Times New Roman"/>
                <w:kern w:val="0"/>
                <w:sz w:val="24"/>
                <w:szCs w:val="24"/>
              </w:rPr>
              <w:t>及环评批复、竣工环保验收</w:t>
            </w:r>
            <w:r>
              <w:rPr>
                <w:rFonts w:hint="eastAsia" w:ascii="仿宋_GB2312" w:hAnsi="Times New Roman" w:eastAsia="仿宋_GB2312" w:cs="Times New Roman"/>
                <w:kern w:val="0"/>
                <w:sz w:val="24"/>
                <w:szCs w:val="24"/>
                <w:lang w:eastAsia="zh-CN"/>
              </w:rPr>
              <w:t>文件</w:t>
            </w:r>
            <w:r>
              <w:rPr>
                <w:rFonts w:hint="eastAsia" w:ascii="仿宋_GB2312" w:hAnsi="Times New Roman" w:eastAsia="仿宋_GB2312" w:cs="Times New Roman"/>
                <w:kern w:val="0"/>
                <w:sz w:val="24"/>
                <w:szCs w:val="24"/>
              </w:rPr>
              <w:t>（未开展竣工环保验收的除外）等；</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6.产生单位危险废物有用组分和有毒有害成分含量要求及检测报告（有CMA章）；</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7.利用单位产品执行质量标准以及质量检测报告（有CMA章）；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    8.利用单位保证危险废物经营安全的规章制度、污染防治措施和事故应急救援措施证明材料；</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9.</w:t>
            </w:r>
            <w:r>
              <w:rPr>
                <w:rFonts w:hint="eastAsia" w:ascii="仿宋_GB2312" w:hAnsi="Times New Roman" w:eastAsia="仿宋_GB2312" w:cs="Times New Roman"/>
                <w:kern w:val="0"/>
                <w:sz w:val="24"/>
                <w:szCs w:val="24"/>
                <w:lang w:eastAsia="zh-CN"/>
              </w:rPr>
              <w:t>危险废物“点对点”定向利用</w:t>
            </w:r>
            <w:r>
              <w:rPr>
                <w:rFonts w:hint="eastAsia" w:ascii="仿宋_GB2312" w:hAnsi="Times New Roman" w:eastAsia="仿宋_GB2312" w:cs="Times New Roman"/>
                <w:kern w:val="0"/>
                <w:sz w:val="24"/>
                <w:szCs w:val="24"/>
              </w:rPr>
              <w:t>环境风险评估</w:t>
            </w:r>
            <w:r>
              <w:rPr>
                <w:rFonts w:hint="eastAsia" w:ascii="仿宋_GB2312" w:hAnsi="Times New Roman" w:eastAsia="仿宋_GB2312" w:cs="Times New Roman"/>
                <w:kern w:val="0"/>
                <w:sz w:val="24"/>
                <w:szCs w:val="24"/>
                <w:lang w:eastAsia="zh-CN"/>
              </w:rPr>
              <w:t>方案</w:t>
            </w:r>
            <w:r>
              <w:rPr>
                <w:rFonts w:hint="eastAsia" w:ascii="仿宋_GB2312" w:hAnsi="Times New Roman" w:eastAsia="仿宋_GB2312" w:cs="Times New Roman"/>
                <w:kern w:val="0"/>
                <w:sz w:val="24"/>
                <w:szCs w:val="24"/>
              </w:rPr>
              <w:t>及专家意见；</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10. 已开展危险废物“点对点”定向利用活动自评价报告（包括产生单位危险废物</w:t>
            </w:r>
            <w:r>
              <w:rPr>
                <w:rFonts w:hint="eastAsia" w:ascii="仿宋_GB2312" w:hAnsi="Times New Roman" w:eastAsia="仿宋_GB2312" w:cs="Times New Roman"/>
                <w:kern w:val="0"/>
                <w:sz w:val="24"/>
                <w:szCs w:val="24"/>
                <w:lang w:eastAsia="zh-CN"/>
              </w:rPr>
              <w:t>的</w:t>
            </w:r>
            <w:r>
              <w:rPr>
                <w:rFonts w:hint="eastAsia" w:ascii="仿宋_GB2312" w:hAnsi="Times New Roman" w:eastAsia="仿宋_GB2312" w:cs="Times New Roman"/>
                <w:kern w:val="0"/>
                <w:sz w:val="24"/>
                <w:szCs w:val="24"/>
              </w:rPr>
              <w:t>产生</w:t>
            </w:r>
            <w:r>
              <w:rPr>
                <w:rFonts w:hint="eastAsia" w:ascii="仿宋_GB2312" w:hAnsi="Times New Roman" w:eastAsia="仿宋_GB2312" w:cs="Times New Roman"/>
                <w:kern w:val="0"/>
                <w:sz w:val="24"/>
                <w:szCs w:val="24"/>
                <w:lang w:eastAsia="zh-CN"/>
              </w:rPr>
              <w:t>情况</w:t>
            </w:r>
            <w:r>
              <w:rPr>
                <w:rFonts w:hint="eastAsia" w:ascii="仿宋_GB2312" w:hAnsi="Times New Roman" w:eastAsia="仿宋_GB2312" w:cs="Times New Roman"/>
                <w:kern w:val="0"/>
                <w:sz w:val="24"/>
                <w:szCs w:val="24"/>
              </w:rPr>
              <w:t>、转移、有用组分和有害成分含量控制、污染防治设施运行及污染物达标排放</w:t>
            </w:r>
            <w:r>
              <w:rPr>
                <w:rFonts w:hint="eastAsia" w:ascii="仿宋_GB2312" w:hAnsi="Times New Roman" w:eastAsia="仿宋_GB2312" w:cs="Times New Roman"/>
                <w:kern w:val="0"/>
                <w:sz w:val="24"/>
                <w:szCs w:val="24"/>
                <w:lang w:eastAsia="zh-CN"/>
              </w:rPr>
              <w:t>等内容</w:t>
            </w:r>
            <w:r>
              <w:rPr>
                <w:rFonts w:hint="eastAsia" w:ascii="仿宋_GB2312" w:hAnsi="Times New Roman" w:eastAsia="仿宋_GB2312" w:cs="Times New Roman"/>
                <w:kern w:val="0"/>
                <w:sz w:val="24"/>
                <w:szCs w:val="24"/>
              </w:rPr>
              <w:t>，</w:t>
            </w:r>
            <w:r>
              <w:rPr>
                <w:rFonts w:hint="eastAsia" w:ascii="仿宋_GB2312" w:hAnsi="Times New Roman" w:eastAsia="仿宋_GB2312" w:cs="Times New Roman"/>
                <w:kern w:val="0"/>
                <w:sz w:val="24"/>
                <w:szCs w:val="24"/>
                <w:lang w:eastAsia="zh-CN"/>
              </w:rPr>
              <w:t>以及</w:t>
            </w:r>
            <w:r>
              <w:rPr>
                <w:rFonts w:hint="eastAsia" w:ascii="仿宋_GB2312" w:hAnsi="Times New Roman" w:eastAsia="仿宋_GB2312" w:cs="Times New Roman"/>
                <w:kern w:val="0"/>
                <w:sz w:val="24"/>
                <w:szCs w:val="24"/>
              </w:rPr>
              <w:t>利用单位危险废物</w:t>
            </w:r>
            <w:r>
              <w:rPr>
                <w:rFonts w:hint="eastAsia" w:ascii="仿宋_GB2312" w:hAnsi="Times New Roman" w:eastAsia="仿宋_GB2312" w:cs="Times New Roman"/>
                <w:kern w:val="0"/>
                <w:sz w:val="24"/>
                <w:szCs w:val="24"/>
                <w:lang w:eastAsia="zh-CN"/>
              </w:rPr>
              <w:t>的</w:t>
            </w:r>
            <w:r>
              <w:rPr>
                <w:rFonts w:hint="eastAsia" w:ascii="仿宋_GB2312" w:hAnsi="Times New Roman" w:eastAsia="仿宋_GB2312" w:cs="Times New Roman"/>
                <w:kern w:val="0"/>
                <w:sz w:val="24"/>
                <w:szCs w:val="24"/>
              </w:rPr>
              <w:t>利用</w:t>
            </w:r>
            <w:r>
              <w:rPr>
                <w:rFonts w:hint="eastAsia" w:ascii="仿宋_GB2312" w:hAnsi="Times New Roman" w:eastAsia="仿宋_GB2312" w:cs="Times New Roman"/>
                <w:kern w:val="0"/>
                <w:sz w:val="24"/>
                <w:szCs w:val="24"/>
                <w:lang w:eastAsia="zh-CN"/>
              </w:rPr>
              <w:t>过程</w:t>
            </w:r>
            <w:r>
              <w:rPr>
                <w:rFonts w:hint="eastAsia" w:ascii="仿宋_GB2312" w:hAnsi="Times New Roman" w:eastAsia="仿宋_GB2312" w:cs="Times New Roman"/>
                <w:kern w:val="0"/>
                <w:sz w:val="24"/>
                <w:szCs w:val="24"/>
              </w:rPr>
              <w:t>、污染防治设施运行及污染物达标排放、最终产品质量控制及去向等内容）；</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11.产生单位或利用单位信息变更前后营业执照复印件（加盖单位</w:t>
            </w:r>
            <w:r>
              <w:rPr>
                <w:rFonts w:hint="eastAsia" w:ascii="仿宋_GB2312" w:hAnsi="Times New Roman" w:eastAsia="仿宋_GB2312" w:cs="Times New Roman"/>
                <w:kern w:val="0"/>
                <w:sz w:val="24"/>
                <w:szCs w:val="24"/>
                <w:lang w:eastAsia="zh-CN"/>
              </w:rPr>
              <w:t>公</w:t>
            </w:r>
            <w:r>
              <w:rPr>
                <w:rFonts w:hint="eastAsia" w:ascii="仿宋_GB2312" w:hAnsi="Times New Roman" w:eastAsia="仿宋_GB2312" w:cs="Times New Roman"/>
                <w:kern w:val="0"/>
                <w:sz w:val="24"/>
                <w:szCs w:val="24"/>
              </w:rPr>
              <w:t>章）；</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12.产生单位和利用单位取消“点对点”定向利用活动的，应提交遗留固体废物（包括危险废物）</w:t>
            </w:r>
            <w:r>
              <w:rPr>
                <w:rFonts w:hint="eastAsia" w:ascii="仿宋_GB2312" w:hAnsi="Times New Roman" w:eastAsia="仿宋_GB2312" w:cs="Times New Roman"/>
                <w:kern w:val="0"/>
                <w:sz w:val="24"/>
                <w:szCs w:val="24"/>
                <w:lang w:eastAsia="zh-CN"/>
              </w:rPr>
              <w:t>和</w:t>
            </w:r>
            <w:r>
              <w:rPr>
                <w:rFonts w:hint="eastAsia" w:ascii="仿宋_GB2312" w:hAnsi="Times New Roman" w:eastAsia="仿宋_GB2312" w:cs="Times New Roman"/>
                <w:kern w:val="0"/>
                <w:sz w:val="24"/>
                <w:szCs w:val="24"/>
              </w:rPr>
              <w:t>废水处理处置措施</w:t>
            </w:r>
            <w:r>
              <w:rPr>
                <w:rFonts w:hint="eastAsia" w:ascii="仿宋_GB2312" w:hAnsi="Times New Roman" w:eastAsia="仿宋_GB2312" w:cs="Times New Roman"/>
                <w:kern w:val="0"/>
                <w:sz w:val="24"/>
                <w:szCs w:val="24"/>
                <w:lang w:eastAsia="zh-CN"/>
              </w:rPr>
              <w:t>，</w:t>
            </w:r>
            <w:r>
              <w:rPr>
                <w:rFonts w:hint="eastAsia" w:ascii="仿宋_GB2312" w:hAnsi="Times New Roman" w:eastAsia="仿宋_GB2312" w:cs="Times New Roman"/>
                <w:kern w:val="0"/>
                <w:sz w:val="24"/>
                <w:szCs w:val="24"/>
              </w:rPr>
              <w:t>以及设施所在地周边土壤和地下水环境监测报告；拆除利用设施的，应符合《企业拆除活动污染防治技术规定（试行）》要求，并对利用设施所在区域土壤污染状况调查，如调查结果不满足《土壤环境质量标准 建设用地土壤污染风险管控标准（试行）》（GB15618-2018）的，还应开展污染土壤治理修复或风险管控。</w:t>
            </w:r>
          </w:p>
        </w:tc>
      </w:tr>
    </w:tbl>
    <w:p>
      <w:pPr>
        <w:widowControl/>
        <w:shd w:val="clear" w:color="auto" w:fill="FFFFFF"/>
        <w:spacing w:line="450" w:lineRule="atLeast"/>
        <w:jc w:val="left"/>
        <w:rPr>
          <w:rFonts w:ascii="仿宋_GB2312" w:hAnsi="Arial" w:eastAsia="仿宋_GB2312" w:cs="Arial"/>
          <w:kern w:val="0"/>
          <w:sz w:val="32"/>
          <w:szCs w:val="32"/>
        </w:rPr>
      </w:pPr>
      <w:r>
        <w:rPr>
          <w:rFonts w:hint="eastAsia" w:ascii="仿宋_GB2312" w:hAnsi="微软雅黑" w:eastAsia="仿宋_GB2312" w:cs="宋体"/>
          <w:kern w:val="0"/>
          <w:sz w:val="24"/>
          <w:szCs w:val="24"/>
        </w:rPr>
        <w:t> </w:t>
      </w:r>
      <w:r>
        <w:rPr>
          <w:rFonts w:hint="eastAsia" w:ascii="仿宋_GB2312" w:hAnsi="Arial" w:eastAsia="仿宋_GB2312" w:cs="Arial"/>
          <w:b/>
          <w:bCs/>
          <w:kern w:val="0"/>
          <w:sz w:val="32"/>
          <w:szCs w:val="32"/>
        </w:rPr>
        <w:t>附件2</w:t>
      </w:r>
    </w:p>
    <w:p>
      <w:pPr>
        <w:widowControl/>
        <w:spacing w:line="600" w:lineRule="exact"/>
        <w:ind w:firstLine="540"/>
        <w:jc w:val="center"/>
        <w:rPr>
          <w:rFonts w:hint="eastAsia" w:ascii="CESI黑体-GB2312" w:hAnsi="CESI黑体-GB2312" w:eastAsia="CESI黑体-GB2312" w:cs="CESI黑体-GB2312"/>
          <w:b w:val="0"/>
          <w:bCs w:val="0"/>
          <w:kern w:val="0"/>
          <w:sz w:val="44"/>
          <w:szCs w:val="44"/>
        </w:rPr>
      </w:pPr>
      <w:r>
        <w:rPr>
          <w:rFonts w:hint="eastAsia" w:ascii="CESI黑体-GB2312" w:hAnsi="CESI黑体-GB2312" w:eastAsia="CESI黑体-GB2312" w:cs="CESI黑体-GB2312"/>
          <w:b w:val="0"/>
          <w:bCs w:val="0"/>
          <w:kern w:val="0"/>
          <w:sz w:val="44"/>
          <w:szCs w:val="44"/>
        </w:rPr>
        <w:t>危险废物“点对点”定向</w:t>
      </w:r>
    </w:p>
    <w:p>
      <w:pPr>
        <w:widowControl/>
        <w:spacing w:line="600" w:lineRule="exact"/>
        <w:ind w:firstLine="540"/>
        <w:jc w:val="center"/>
        <w:rPr>
          <w:rFonts w:hint="eastAsia" w:ascii="CESI黑体-GB2312" w:hAnsi="CESI黑体-GB2312" w:eastAsia="CESI黑体-GB2312" w:cs="CESI黑体-GB2312"/>
          <w:b w:val="0"/>
          <w:bCs w:val="0"/>
          <w:kern w:val="0"/>
          <w:sz w:val="44"/>
          <w:szCs w:val="44"/>
        </w:rPr>
      </w:pPr>
      <w:r>
        <w:rPr>
          <w:rFonts w:hint="eastAsia" w:ascii="CESI黑体-GB2312" w:hAnsi="CESI黑体-GB2312" w:eastAsia="CESI黑体-GB2312" w:cs="CESI黑体-GB2312"/>
          <w:b w:val="0"/>
          <w:bCs w:val="0"/>
          <w:kern w:val="0"/>
          <w:sz w:val="44"/>
          <w:szCs w:val="44"/>
        </w:rPr>
        <w:t>利用环境风险评估方案</w:t>
      </w:r>
    </w:p>
    <w:p>
      <w:pPr>
        <w:widowControl/>
        <w:spacing w:line="600" w:lineRule="exact"/>
        <w:ind w:firstLine="540"/>
        <w:jc w:val="left"/>
        <w:rPr>
          <w:rFonts w:ascii="仿宋_GB2312" w:hAnsi="Arial" w:eastAsia="仿宋_GB2312" w:cs="Arial"/>
          <w:kern w:val="0"/>
          <w:sz w:val="32"/>
          <w:szCs w:val="32"/>
        </w:rPr>
      </w:pPr>
    </w:p>
    <w:p>
      <w:pPr>
        <w:widowControl/>
        <w:spacing w:line="600" w:lineRule="exact"/>
        <w:ind w:firstLine="540"/>
        <w:jc w:val="left"/>
        <w:rPr>
          <w:rFonts w:hint="eastAsia" w:ascii="CESI黑体-GB2312" w:hAnsi="CESI黑体-GB2312" w:eastAsia="CESI黑体-GB2312" w:cs="CESI黑体-GB2312"/>
          <w:kern w:val="0"/>
          <w:sz w:val="32"/>
          <w:szCs w:val="32"/>
        </w:rPr>
      </w:pPr>
      <w:r>
        <w:rPr>
          <w:rFonts w:hint="eastAsia" w:ascii="CESI黑体-GB2312" w:hAnsi="CESI黑体-GB2312" w:eastAsia="CESI黑体-GB2312" w:cs="CESI黑体-GB2312"/>
          <w:kern w:val="0"/>
          <w:sz w:val="32"/>
          <w:szCs w:val="32"/>
        </w:rPr>
        <w:t>一、危险废物产生情况</w:t>
      </w:r>
    </w:p>
    <w:p>
      <w:pPr>
        <w:widowControl/>
        <w:spacing w:line="600" w:lineRule="exact"/>
        <w:ind w:firstLine="540"/>
        <w:jc w:val="left"/>
        <w:rPr>
          <w:rFonts w:ascii="仿宋_GB2312" w:hAnsi="Arial" w:eastAsia="仿宋_GB2312" w:cs="Arial"/>
          <w:kern w:val="0"/>
          <w:sz w:val="32"/>
          <w:szCs w:val="32"/>
        </w:rPr>
      </w:pPr>
      <w:r>
        <w:rPr>
          <w:rFonts w:hint="eastAsia" w:ascii="仿宋_GB2312" w:hAnsi="Arial" w:eastAsia="仿宋_GB2312" w:cs="Arial"/>
          <w:kern w:val="0"/>
          <w:sz w:val="32"/>
          <w:szCs w:val="32"/>
        </w:rPr>
        <w:t>危险废物产生单位建设项目环境影响评价、排污许可等制度的落实情况，近一年</w:t>
      </w:r>
      <w:r>
        <w:rPr>
          <w:rFonts w:hint="eastAsia" w:ascii="仿宋_GB2312" w:hAnsi="Arial" w:eastAsia="仿宋_GB2312" w:cs="Arial"/>
          <w:kern w:val="0"/>
          <w:sz w:val="32"/>
          <w:szCs w:val="32"/>
          <w:lang w:eastAsia="zh-CN"/>
        </w:rPr>
        <w:t>内</w:t>
      </w:r>
      <w:r>
        <w:rPr>
          <w:rFonts w:hint="eastAsia" w:ascii="仿宋_GB2312" w:hAnsi="Arial" w:eastAsia="仿宋_GB2312" w:cs="Arial"/>
          <w:kern w:val="0"/>
          <w:sz w:val="32"/>
          <w:szCs w:val="32"/>
        </w:rPr>
        <w:t>经各级生态环境部门危险废物规范化环境管理评估达标情况。</w:t>
      </w:r>
    </w:p>
    <w:p>
      <w:pPr>
        <w:widowControl/>
        <w:spacing w:line="600" w:lineRule="exact"/>
        <w:ind w:firstLine="540"/>
        <w:jc w:val="left"/>
        <w:rPr>
          <w:rFonts w:ascii="仿宋_GB2312" w:hAnsi="Arial" w:eastAsia="仿宋_GB2312" w:cs="Arial"/>
          <w:kern w:val="0"/>
          <w:sz w:val="32"/>
          <w:szCs w:val="32"/>
        </w:rPr>
      </w:pPr>
      <w:r>
        <w:rPr>
          <w:rFonts w:hint="eastAsia" w:ascii="仿宋_GB2312" w:hAnsi="Arial" w:eastAsia="仿宋_GB2312" w:cs="Arial"/>
          <w:kern w:val="0"/>
          <w:sz w:val="32"/>
          <w:szCs w:val="32"/>
        </w:rPr>
        <w:t>分析产生单位的主要危险废物产生环节、产生量、主要成分、有毒有害成分</w:t>
      </w:r>
      <w:r>
        <w:rPr>
          <w:rFonts w:hint="eastAsia" w:ascii="仿宋_GB2312" w:hAnsi="Arial" w:eastAsia="仿宋_GB2312" w:cs="Arial"/>
          <w:kern w:val="0"/>
          <w:sz w:val="32"/>
          <w:szCs w:val="32"/>
          <w:lang w:eastAsia="zh-CN"/>
        </w:rPr>
        <w:t>及</w:t>
      </w:r>
      <w:r>
        <w:rPr>
          <w:rFonts w:hint="eastAsia" w:ascii="仿宋_GB2312" w:hAnsi="Arial" w:eastAsia="仿宋_GB2312" w:cs="Arial"/>
          <w:kern w:val="0"/>
          <w:sz w:val="32"/>
          <w:szCs w:val="32"/>
        </w:rPr>
        <w:t>理化特性等，明确废物名称、废物类别和废物代码，分析其是否具有规模较大、品种单一、品质稳定</w:t>
      </w:r>
      <w:r>
        <w:rPr>
          <w:rFonts w:hint="eastAsia" w:ascii="仿宋_GB2312" w:hAnsi="Arial" w:eastAsia="仿宋_GB2312" w:cs="Arial"/>
          <w:kern w:val="0"/>
          <w:sz w:val="32"/>
          <w:szCs w:val="32"/>
          <w:lang w:eastAsia="zh-CN"/>
        </w:rPr>
        <w:t>等</w:t>
      </w:r>
      <w:r>
        <w:rPr>
          <w:rFonts w:hint="eastAsia" w:ascii="仿宋_GB2312" w:hAnsi="Arial" w:eastAsia="仿宋_GB2312" w:cs="Arial"/>
          <w:kern w:val="0"/>
          <w:sz w:val="32"/>
          <w:szCs w:val="32"/>
        </w:rPr>
        <w:t>特点。</w:t>
      </w:r>
    </w:p>
    <w:p>
      <w:pPr>
        <w:widowControl/>
        <w:spacing w:line="600" w:lineRule="exact"/>
        <w:ind w:firstLine="540"/>
        <w:jc w:val="left"/>
        <w:rPr>
          <w:rFonts w:hint="eastAsia" w:ascii="CESI黑体-GB2312" w:hAnsi="CESI黑体-GB2312" w:eastAsia="CESI黑体-GB2312" w:cs="CESI黑体-GB2312"/>
          <w:kern w:val="0"/>
          <w:sz w:val="32"/>
          <w:szCs w:val="32"/>
        </w:rPr>
      </w:pPr>
      <w:r>
        <w:rPr>
          <w:rFonts w:hint="eastAsia" w:ascii="CESI黑体-GB2312" w:hAnsi="CESI黑体-GB2312" w:eastAsia="CESI黑体-GB2312" w:cs="CESI黑体-GB2312"/>
          <w:kern w:val="0"/>
          <w:sz w:val="32"/>
          <w:szCs w:val="32"/>
        </w:rPr>
        <w:t>二、危险废物利用情况</w:t>
      </w:r>
    </w:p>
    <w:p>
      <w:pPr>
        <w:widowControl/>
        <w:spacing w:line="600" w:lineRule="exact"/>
        <w:ind w:firstLine="540"/>
        <w:jc w:val="left"/>
        <w:rPr>
          <w:rFonts w:ascii="仿宋_GB2312" w:hAnsi="Arial" w:eastAsia="仿宋_GB2312" w:cs="Arial"/>
          <w:kern w:val="0"/>
          <w:sz w:val="32"/>
          <w:szCs w:val="32"/>
        </w:rPr>
      </w:pPr>
      <w:r>
        <w:rPr>
          <w:rFonts w:hint="eastAsia" w:ascii="仿宋_GB2312" w:hAnsi="Arial" w:eastAsia="仿宋_GB2312" w:cs="Arial"/>
          <w:kern w:val="0"/>
          <w:sz w:val="32"/>
          <w:szCs w:val="32"/>
        </w:rPr>
        <w:t>危险废物综合利用单位建设项目环境影响评价、排污许可等制度的落实情况，近一年</w:t>
      </w:r>
      <w:r>
        <w:rPr>
          <w:rFonts w:hint="eastAsia" w:ascii="仿宋_GB2312" w:hAnsi="Arial" w:eastAsia="仿宋_GB2312" w:cs="Arial"/>
          <w:kern w:val="0"/>
          <w:sz w:val="32"/>
          <w:szCs w:val="32"/>
          <w:lang w:eastAsia="zh-CN"/>
        </w:rPr>
        <w:t>内</w:t>
      </w:r>
      <w:r>
        <w:rPr>
          <w:rFonts w:hint="eastAsia" w:ascii="仿宋_GB2312" w:hAnsi="Arial" w:eastAsia="仿宋_GB2312" w:cs="Arial"/>
          <w:kern w:val="0"/>
          <w:sz w:val="32"/>
          <w:szCs w:val="32"/>
        </w:rPr>
        <w:t>经各级生态环境部门危险废物规范化环境管理评估达标情况。</w:t>
      </w:r>
    </w:p>
    <w:p>
      <w:pPr>
        <w:widowControl/>
        <w:spacing w:line="600" w:lineRule="exact"/>
        <w:ind w:firstLine="540"/>
        <w:jc w:val="left"/>
        <w:rPr>
          <w:rFonts w:ascii="仿宋_GB2312" w:hAnsi="Arial" w:eastAsia="仿宋_GB2312" w:cs="Arial"/>
          <w:kern w:val="0"/>
          <w:sz w:val="32"/>
          <w:szCs w:val="32"/>
        </w:rPr>
      </w:pPr>
      <w:r>
        <w:rPr>
          <w:rFonts w:hint="eastAsia" w:ascii="仿宋_GB2312" w:hAnsi="Arial" w:eastAsia="仿宋_GB2312" w:cs="Arial"/>
          <w:kern w:val="0"/>
          <w:sz w:val="32"/>
          <w:szCs w:val="32"/>
        </w:rPr>
        <w:t>参照环评导则，详细分析“点对点”</w:t>
      </w:r>
      <w:r>
        <w:rPr>
          <w:rFonts w:hint="eastAsia" w:ascii="仿宋_GB2312" w:hAnsi="Arial" w:eastAsia="仿宋_GB2312" w:cs="Arial"/>
          <w:kern w:val="0"/>
          <w:sz w:val="32"/>
          <w:szCs w:val="32"/>
          <w:lang w:eastAsia="zh-CN"/>
        </w:rPr>
        <w:t>定向</w:t>
      </w:r>
      <w:r>
        <w:rPr>
          <w:rFonts w:hint="eastAsia" w:ascii="仿宋_GB2312" w:hAnsi="Arial" w:eastAsia="仿宋_GB2312" w:cs="Arial"/>
          <w:kern w:val="0"/>
          <w:sz w:val="32"/>
          <w:szCs w:val="32"/>
        </w:rPr>
        <w:t>利用单位利用工艺的可行性、科学性。对产生单位的危险废物应明确接收标准、年接收数量、检测要求、包装贮存和运输要求、利用工艺及设施、污染防治措施、安全防范措施等内容，确保危险废物利用符合环境管理要求和环境风险可控，明确产生单位的危险废物种类和数量与</w:t>
      </w:r>
      <w:r>
        <w:rPr>
          <w:rFonts w:hint="eastAsia" w:ascii="仿宋_GB2312" w:hAnsi="Arial" w:eastAsia="仿宋_GB2312" w:cs="Arial"/>
          <w:kern w:val="0"/>
          <w:sz w:val="32"/>
          <w:szCs w:val="32"/>
          <w:lang w:eastAsia="zh-CN"/>
        </w:rPr>
        <w:t>定向</w:t>
      </w:r>
      <w:r>
        <w:rPr>
          <w:rFonts w:hint="eastAsia" w:ascii="仿宋_GB2312" w:hAnsi="Arial" w:eastAsia="仿宋_GB2312" w:cs="Arial"/>
          <w:kern w:val="0"/>
          <w:sz w:val="32"/>
          <w:szCs w:val="32"/>
        </w:rPr>
        <w:t>利用单位的利用工艺和设施设备匹配</w:t>
      </w:r>
      <w:r>
        <w:rPr>
          <w:rFonts w:hint="eastAsia" w:ascii="仿宋_GB2312" w:hAnsi="Arial" w:eastAsia="仿宋_GB2312" w:cs="Arial"/>
          <w:kern w:val="0"/>
          <w:sz w:val="32"/>
          <w:szCs w:val="32"/>
          <w:lang w:eastAsia="zh-CN"/>
        </w:rPr>
        <w:t>情况</w:t>
      </w:r>
      <w:r>
        <w:rPr>
          <w:rFonts w:hint="eastAsia" w:ascii="仿宋_GB2312" w:hAnsi="Arial" w:eastAsia="仿宋_GB2312" w:cs="Arial"/>
          <w:kern w:val="0"/>
          <w:sz w:val="32"/>
          <w:szCs w:val="32"/>
        </w:rPr>
        <w:t>。</w:t>
      </w:r>
    </w:p>
    <w:p>
      <w:pPr>
        <w:widowControl/>
        <w:spacing w:line="600" w:lineRule="exact"/>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利用危险废物替代原料生产产品的，产品质量应符合国家、地方或行业通行的产品质量标准，产品中所含有害成分含量符合国家</w:t>
      </w:r>
      <w:r>
        <w:rPr>
          <w:rFonts w:hint="eastAsia" w:ascii="仿宋_GB2312" w:hAnsi="Arial" w:eastAsia="仿宋_GB2312" w:cs="Arial"/>
          <w:kern w:val="0"/>
          <w:sz w:val="32"/>
          <w:szCs w:val="32"/>
          <w:lang w:eastAsia="zh-CN"/>
        </w:rPr>
        <w:t>规定的限值要求</w:t>
      </w:r>
      <w:r>
        <w:rPr>
          <w:rFonts w:hint="eastAsia" w:ascii="仿宋_GB2312" w:hAnsi="Arial" w:eastAsia="仿宋_GB2312" w:cs="Arial"/>
          <w:kern w:val="0"/>
          <w:sz w:val="32"/>
          <w:szCs w:val="32"/>
        </w:rPr>
        <w:t>且不高于利用工业原料生产产品中的有害成分含量，生产产品的工艺过程不增加或通过一定的污染控制措施不增加相应污染物排放。</w:t>
      </w:r>
    </w:p>
    <w:p>
      <w:pPr>
        <w:widowControl/>
        <w:spacing w:line="600" w:lineRule="exact"/>
        <w:ind w:firstLine="540"/>
        <w:jc w:val="left"/>
        <w:rPr>
          <w:rFonts w:ascii="仿宋_GB2312" w:hAnsi="Arial" w:eastAsia="仿宋_GB2312" w:cs="Arial"/>
          <w:kern w:val="0"/>
          <w:sz w:val="32"/>
          <w:szCs w:val="32"/>
        </w:rPr>
      </w:pPr>
      <w:r>
        <w:rPr>
          <w:rFonts w:hint="eastAsia" w:ascii="仿宋_GB2312" w:hAnsi="Arial" w:eastAsia="仿宋_GB2312" w:cs="Arial"/>
          <w:kern w:val="0"/>
          <w:sz w:val="32"/>
          <w:szCs w:val="32"/>
        </w:rPr>
        <w:t>具有相应的产品质量控制措施和能力，且产品环境风险可控；禁止重金属等有毒有害物质进入养殖行业或食品、药品等供应链企业；分析污染物源强</w:t>
      </w:r>
      <w:r>
        <w:rPr>
          <w:rFonts w:hint="eastAsia" w:ascii="仿宋_GB2312" w:hAnsi="Arial" w:eastAsia="仿宋_GB2312" w:cs="Arial"/>
          <w:kern w:val="0"/>
          <w:sz w:val="32"/>
          <w:szCs w:val="32"/>
          <w:lang w:eastAsia="zh-CN"/>
        </w:rPr>
        <w:t>及</w:t>
      </w:r>
      <w:r>
        <w:rPr>
          <w:rFonts w:hint="eastAsia" w:ascii="仿宋_GB2312" w:hAnsi="Arial" w:eastAsia="仿宋_GB2312" w:cs="Arial"/>
          <w:kern w:val="0"/>
          <w:sz w:val="32"/>
          <w:szCs w:val="32"/>
        </w:rPr>
        <w:t>排放，开展环境影响预测和评价，采取对应的污染防治措施，达到综合利用全过程污染物稳定达标排放要求。</w:t>
      </w:r>
    </w:p>
    <w:p>
      <w:pPr>
        <w:widowControl/>
        <w:spacing w:line="600" w:lineRule="exact"/>
        <w:ind w:firstLine="540"/>
        <w:jc w:val="left"/>
        <w:rPr>
          <w:rFonts w:hint="eastAsia" w:ascii="CESI黑体-GB2312" w:hAnsi="CESI黑体-GB2312" w:eastAsia="CESI黑体-GB2312" w:cs="CESI黑体-GB2312"/>
          <w:kern w:val="0"/>
          <w:sz w:val="32"/>
          <w:szCs w:val="32"/>
        </w:rPr>
      </w:pPr>
      <w:r>
        <w:rPr>
          <w:rFonts w:hint="eastAsia" w:ascii="CESI黑体-GB2312" w:hAnsi="CESI黑体-GB2312" w:eastAsia="CESI黑体-GB2312" w:cs="CESI黑体-GB2312"/>
          <w:kern w:val="0"/>
          <w:sz w:val="32"/>
          <w:szCs w:val="32"/>
        </w:rPr>
        <w:t>三、环境管理要求</w:t>
      </w:r>
    </w:p>
    <w:p>
      <w:pPr>
        <w:widowControl/>
        <w:spacing w:line="600" w:lineRule="exact"/>
        <w:ind w:firstLine="540"/>
        <w:jc w:val="left"/>
        <w:rPr>
          <w:rFonts w:ascii="仿宋_GB2312" w:hAnsi="Arial" w:eastAsia="仿宋_GB2312" w:cs="Arial"/>
          <w:kern w:val="0"/>
          <w:sz w:val="32"/>
          <w:szCs w:val="32"/>
        </w:rPr>
      </w:pPr>
      <w:r>
        <w:rPr>
          <w:rFonts w:hint="eastAsia" w:ascii="仿宋_GB2312" w:hAnsi="Arial" w:eastAsia="仿宋_GB2312" w:cs="Arial"/>
          <w:kern w:val="0"/>
          <w:sz w:val="32"/>
          <w:szCs w:val="32"/>
        </w:rPr>
        <w:t>（一）接收、贮存。通过吉林省危险废物全过程智能监管平台开展危险废物转移活动。贮存设施符合《危险废物贮存污染控制标准》等要求。</w:t>
      </w:r>
    </w:p>
    <w:p>
      <w:pPr>
        <w:widowControl/>
        <w:spacing w:line="600" w:lineRule="exact"/>
        <w:ind w:firstLine="540"/>
        <w:jc w:val="left"/>
        <w:rPr>
          <w:rFonts w:ascii="仿宋_GB2312" w:hAnsi="Arial" w:eastAsia="仿宋_GB2312" w:cs="Arial"/>
          <w:kern w:val="0"/>
          <w:sz w:val="32"/>
          <w:szCs w:val="32"/>
        </w:rPr>
      </w:pPr>
      <w:r>
        <w:rPr>
          <w:rFonts w:hint="eastAsia" w:ascii="仿宋_GB2312" w:hAnsi="Arial" w:eastAsia="仿宋_GB2312" w:cs="Arial"/>
          <w:kern w:val="0"/>
          <w:sz w:val="32"/>
          <w:szCs w:val="32"/>
        </w:rPr>
        <w:t>（二）日常监测。结合建设项目具体情况，有针对性地提出营运期具有可操作性的环境管理措施与监测计划。</w:t>
      </w:r>
    </w:p>
    <w:p>
      <w:pPr>
        <w:widowControl/>
        <w:spacing w:line="600" w:lineRule="exact"/>
        <w:ind w:firstLine="540"/>
        <w:jc w:val="left"/>
        <w:rPr>
          <w:rFonts w:ascii="仿宋_GB2312" w:hAnsi="Arial" w:eastAsia="仿宋_GB2312" w:cs="Arial"/>
          <w:kern w:val="0"/>
          <w:sz w:val="32"/>
          <w:szCs w:val="32"/>
        </w:rPr>
      </w:pPr>
      <w:r>
        <w:rPr>
          <w:rFonts w:hint="eastAsia" w:ascii="仿宋_GB2312" w:hAnsi="Arial" w:eastAsia="仿宋_GB2312" w:cs="Arial"/>
          <w:kern w:val="0"/>
          <w:sz w:val="32"/>
          <w:szCs w:val="32"/>
        </w:rPr>
        <w:t>（三）应急预案。制定应急预案，按规定备案并开展应急演练。</w:t>
      </w:r>
    </w:p>
    <w:p>
      <w:pPr>
        <w:widowControl/>
        <w:spacing w:line="600" w:lineRule="exact"/>
        <w:ind w:firstLine="540"/>
        <w:jc w:val="left"/>
        <w:rPr>
          <w:rFonts w:hint="eastAsia" w:ascii="CESI黑体-GB2312" w:hAnsi="CESI黑体-GB2312" w:eastAsia="CESI黑体-GB2312" w:cs="CESI黑体-GB2312"/>
          <w:kern w:val="0"/>
          <w:sz w:val="32"/>
          <w:szCs w:val="32"/>
        </w:rPr>
      </w:pPr>
      <w:bookmarkStart w:id="0" w:name="_GoBack"/>
      <w:r>
        <w:rPr>
          <w:rFonts w:hint="eastAsia" w:ascii="CESI黑体-GB2312" w:hAnsi="CESI黑体-GB2312" w:eastAsia="CESI黑体-GB2312" w:cs="CESI黑体-GB2312"/>
          <w:kern w:val="0"/>
          <w:sz w:val="32"/>
          <w:szCs w:val="32"/>
        </w:rPr>
        <w:t>四、评估结论</w:t>
      </w:r>
    </w:p>
    <w:bookmarkEnd w:id="0"/>
    <w:p>
      <w:pPr>
        <w:widowControl/>
        <w:spacing w:line="600" w:lineRule="exact"/>
        <w:ind w:firstLine="54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从环境保护角度，对危险废物“点对点”定向利用项目是否可行、环境风险是否可控、污染物能否稳定达标排放等，产生单位和利用单位提出结论性意见</w:t>
      </w:r>
      <w:r>
        <w:rPr>
          <w:rFonts w:hint="eastAsia" w:ascii="仿宋_GB2312" w:hAnsi="Arial" w:eastAsia="仿宋_GB2312" w:cs="Arial"/>
          <w:kern w:val="0"/>
          <w:sz w:val="32"/>
          <w:szCs w:val="32"/>
        </w:rPr>
        <w:t>。</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F427F"/>
    <w:rsid w:val="4DCF00E8"/>
    <w:rsid w:val="571D79E4"/>
    <w:rsid w:val="5BFF7B3F"/>
    <w:rsid w:val="5EFFC0F5"/>
    <w:rsid w:val="5F397F0A"/>
    <w:rsid w:val="647F87F7"/>
    <w:rsid w:val="73FDC3E8"/>
    <w:rsid w:val="7ADFA326"/>
    <w:rsid w:val="7BAAA154"/>
    <w:rsid w:val="7FBC1A2C"/>
    <w:rsid w:val="9FFED72A"/>
    <w:rsid w:val="ACBF9F27"/>
    <w:rsid w:val="AF7C95A2"/>
    <w:rsid w:val="BDDF9B09"/>
    <w:rsid w:val="D4DA4678"/>
    <w:rsid w:val="D7BFC914"/>
    <w:rsid w:val="ED552998"/>
    <w:rsid w:val="F6F3C266"/>
    <w:rsid w:val="F6FD9C36"/>
    <w:rsid w:val="F7FD1FF5"/>
    <w:rsid w:val="FF4FD4AA"/>
    <w:rsid w:val="FF9779CD"/>
    <w:rsid w:val="FFBE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pPr>
      <w:spacing w:line="560" w:lineRule="exact"/>
    </w:pPr>
    <w:rPr>
      <w:rFonts w:hint="eastAsia" w:ascii="宋体" w:hAnsi="宋体" w:eastAsia="仿宋_GB2312" w:cs="Times New Roman"/>
      <w:sz w:val="32"/>
      <w:szCs w:val="32"/>
    </w:rPr>
  </w:style>
  <w:style w:type="paragraph" w:styleId="3">
    <w:name w:val="Date"/>
    <w:basedOn w:val="1"/>
    <w:next w:val="1"/>
    <w:link w:val="9"/>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日期 Char"/>
    <w:basedOn w:val="8"/>
    <w:link w:val="3"/>
    <w:semiHidden/>
    <w:qFormat/>
    <w:uiPriority w:val="99"/>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5584</Words>
  <Characters>5660</Characters>
  <Lines>9</Lines>
  <Paragraphs>2</Paragraphs>
  <TotalTime>114</TotalTime>
  <ScaleCrop>false</ScaleCrop>
  <LinksUpToDate>false</LinksUpToDate>
  <CharactersWithSpaces>5701</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2019-04-30T06:38:00Z</dcterms:created>
  <dc:creator>祝戈</dc:creator>
  <cp:lastModifiedBy>uos</cp:lastModifiedBy>
  <cp:lastPrinted>2022-06-30T02:20:00Z</cp:lastPrinted>
  <dcterms:modified xsi:type="dcterms:W3CDTF">2022-06-30T09:20:13Z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